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87" w:rsidRDefault="004725E8">
      <w:pPr>
        <w:pStyle w:val="Heading210"/>
        <w:keepNext/>
        <w:keepLines/>
        <w:ind w:firstLine="0"/>
        <w:jc w:val="center"/>
      </w:pPr>
      <w:bookmarkStart w:id="0" w:name="bookmark0"/>
      <w:r>
        <w:rPr>
          <w:rStyle w:val="Heading21"/>
          <w:b/>
        </w:rPr>
        <w:t>MINISTRY OF TRANSPORT</w:t>
      </w:r>
      <w:bookmarkEnd w:id="0"/>
    </w:p>
    <w:p w:rsidR="006F7987" w:rsidRDefault="004725E8">
      <w:pPr>
        <w:pStyle w:val="Heading210"/>
        <w:keepNext/>
        <w:keepLines/>
        <w:spacing w:after="260"/>
        <w:ind w:firstLine="0"/>
        <w:jc w:val="center"/>
      </w:pPr>
      <w:r>
        <w:rPr>
          <w:rStyle w:val="Heading21"/>
          <w:b/>
        </w:rPr>
        <w:t>EXECUTIVE AGENCY “MARITIME ADMINISTRATION”</w:t>
      </w:r>
    </w:p>
    <w:p w:rsidR="006F7987" w:rsidRDefault="00D10527">
      <w:pPr>
        <w:pStyle w:val="Heading210"/>
        <w:keepNext/>
        <w:keepLines/>
        <w:spacing w:after="260"/>
        <w:ind w:firstLine="0"/>
        <w:jc w:val="center"/>
      </w:pPr>
      <w:bookmarkStart w:id="1" w:name="bookmark3"/>
      <w:r>
        <w:rPr>
          <w:rStyle w:val="Heading21"/>
          <w:b/>
        </w:rPr>
        <w:t xml:space="preserve">ORDER </w:t>
      </w:r>
      <w:r w:rsidR="008F5935">
        <w:rPr>
          <w:rStyle w:val="Heading21"/>
          <w:b/>
          <w:lang w:val="bg-BG"/>
        </w:rPr>
        <w:t>№</w:t>
      </w:r>
      <w:r>
        <w:rPr>
          <w:rStyle w:val="Heading21"/>
          <w:b/>
        </w:rPr>
        <w:t xml:space="preserve"> 102</w:t>
      </w:r>
      <w:r w:rsidR="004725E8">
        <w:rPr>
          <w:rStyle w:val="Heading21"/>
          <w:b/>
        </w:rPr>
        <w:br/>
      </w:r>
      <w:r w:rsidR="004725E8">
        <w:rPr>
          <w:rStyle w:val="Heading21"/>
        </w:rPr>
        <w:t>Sofia, 15 December 2008</w:t>
      </w:r>
      <w:bookmarkEnd w:id="1"/>
    </w:p>
    <w:p w:rsidR="006F7987" w:rsidRDefault="004725E8">
      <w:pPr>
        <w:pStyle w:val="Bodytext10"/>
        <w:spacing w:after="260" w:line="254" w:lineRule="auto"/>
        <w:ind w:firstLine="740"/>
        <w:jc w:val="both"/>
      </w:pPr>
      <w:r>
        <w:rPr>
          <w:rStyle w:val="Bodytext1"/>
        </w:rPr>
        <w:t>Implementing the provisions laid down in Resolution 157 of the 55th session of the Marine Environment Protection Co</w:t>
      </w:r>
      <w:r w:rsidR="00766224">
        <w:rPr>
          <w:rStyle w:val="Bodytext1"/>
        </w:rPr>
        <w:t>mmittee (Resolution MEPC.157(55</w:t>
      </w:r>
      <w:r>
        <w:rPr>
          <w:rStyle w:val="Bodytext1"/>
        </w:rPr>
        <w:t>) of the International Maritime Organi</w:t>
      </w:r>
      <w:r w:rsidR="00766224">
        <w:rPr>
          <w:rStyle w:val="Bodytext1"/>
        </w:rPr>
        <w:t>z</w:t>
      </w:r>
      <w:r>
        <w:rPr>
          <w:rStyle w:val="Bodytext1"/>
        </w:rPr>
        <w:t xml:space="preserve">ation, referring to </w:t>
      </w:r>
      <w:r w:rsidR="00766224">
        <w:rPr>
          <w:rStyle w:val="Bodytext1"/>
        </w:rPr>
        <w:t xml:space="preserve">Regulation 11.1.1 of Annex IV, </w:t>
      </w:r>
      <w:r>
        <w:rPr>
          <w:rStyle w:val="Bodytext1"/>
        </w:rPr>
        <w:t>Rules for the Prevention of Pollution from Ships of the International Convention for the Prevention of Pollution from Ships (MARPOL 73/78), pursuant to Article 362 of the Merchant Shipping Code,</w:t>
      </w:r>
    </w:p>
    <w:p w:rsidR="006F7987" w:rsidRDefault="00D10527">
      <w:pPr>
        <w:pStyle w:val="Heading210"/>
        <w:keepNext/>
        <w:keepLines/>
        <w:spacing w:after="260"/>
        <w:ind w:firstLine="0"/>
        <w:jc w:val="center"/>
      </w:pPr>
      <w:bookmarkStart w:id="2" w:name="bookmark5"/>
      <w:r>
        <w:rPr>
          <w:rStyle w:val="Heading21"/>
          <w:b/>
        </w:rPr>
        <w:t xml:space="preserve"> ORDER</w:t>
      </w:r>
      <w:r w:rsidR="004725E8">
        <w:rPr>
          <w:rStyle w:val="Heading21"/>
          <w:b/>
        </w:rPr>
        <w:t>:</w:t>
      </w:r>
      <w:bookmarkEnd w:id="2"/>
    </w:p>
    <w:p w:rsidR="006F7987" w:rsidRDefault="004725E8">
      <w:pPr>
        <w:pStyle w:val="Bodytext10"/>
        <w:spacing w:after="260" w:line="240" w:lineRule="auto"/>
        <w:ind w:firstLine="740"/>
        <w:jc w:val="both"/>
      </w:pPr>
      <w:r>
        <w:rPr>
          <w:rStyle w:val="Bodytext1"/>
        </w:rPr>
        <w:t xml:space="preserve">It shall be prohibited to discharge untreated </w:t>
      </w:r>
      <w:r w:rsidR="00766224">
        <w:rPr>
          <w:rStyle w:val="Bodytext1"/>
        </w:rPr>
        <w:t>waste water</w:t>
      </w:r>
      <w:r>
        <w:rPr>
          <w:rStyle w:val="Bodytext1"/>
        </w:rPr>
        <w:t xml:space="preserve"> with an intensity greater than those determined in accordance with the methodology laid down in that disposal.</w:t>
      </w:r>
    </w:p>
    <w:p w:rsidR="006F7987" w:rsidRDefault="00766224" w:rsidP="00766224">
      <w:pPr>
        <w:pStyle w:val="Heading210"/>
        <w:keepNext/>
        <w:keepLines/>
        <w:jc w:val="both"/>
      </w:pPr>
      <w:bookmarkStart w:id="3" w:name="bookmark7"/>
      <w:r>
        <w:rPr>
          <w:rStyle w:val="Heading21"/>
          <w:b/>
        </w:rPr>
        <w:t>I.</w:t>
      </w:r>
      <w:r w:rsidR="004725E8">
        <w:rPr>
          <w:rStyle w:val="Heading21"/>
          <w:b/>
        </w:rPr>
        <w:t>General provisions</w:t>
      </w:r>
      <w:bookmarkEnd w:id="3"/>
    </w:p>
    <w:p w:rsidR="006F7987" w:rsidRDefault="004725E8">
      <w:pPr>
        <w:pStyle w:val="Bodytext10"/>
        <w:numPr>
          <w:ilvl w:val="0"/>
          <w:numId w:val="1"/>
        </w:numPr>
        <w:tabs>
          <w:tab w:val="left" w:pos="1001"/>
        </w:tabs>
        <w:spacing w:line="252" w:lineRule="auto"/>
        <w:ind w:firstLine="740"/>
        <w:jc w:val="both"/>
      </w:pPr>
      <w:r>
        <w:rPr>
          <w:rStyle w:val="Bodytext1"/>
        </w:rPr>
        <w:t>This disposal determines the intensity of discharge of untreated waste water in accordance with Resolution MEPC.157(55).</w:t>
      </w:r>
    </w:p>
    <w:p w:rsidR="006F7987" w:rsidRDefault="004725E8">
      <w:pPr>
        <w:pStyle w:val="Bodytext10"/>
        <w:numPr>
          <w:ilvl w:val="0"/>
          <w:numId w:val="1"/>
        </w:numPr>
        <w:tabs>
          <w:tab w:val="left" w:pos="1001"/>
        </w:tabs>
        <w:spacing w:line="252" w:lineRule="auto"/>
        <w:ind w:firstLine="740"/>
        <w:jc w:val="both"/>
      </w:pPr>
      <w:r>
        <w:rPr>
          <w:rStyle w:val="Bodytext1"/>
        </w:rPr>
        <w:t>The Order shall apply to seagoing passenger ships and cargo ships engaged on international voyages in the case of discharges of untreated effluents, as follows:</w:t>
      </w:r>
    </w:p>
    <w:p w:rsidR="006F7987" w:rsidRDefault="004725E8" w:rsidP="00766224">
      <w:pPr>
        <w:pStyle w:val="Bodytext10"/>
        <w:numPr>
          <w:ilvl w:val="0"/>
          <w:numId w:val="11"/>
        </w:numPr>
        <w:tabs>
          <w:tab w:val="left" w:pos="1050"/>
        </w:tabs>
        <w:spacing w:line="252" w:lineRule="auto"/>
        <w:ind w:firstLine="740"/>
        <w:jc w:val="both"/>
      </w:pPr>
      <w:r>
        <w:rPr>
          <w:rStyle w:val="Bodytext1"/>
        </w:rPr>
        <w:t>Existing vessels of 400 GT and above;</w:t>
      </w:r>
    </w:p>
    <w:p w:rsidR="006F7987" w:rsidRDefault="004725E8" w:rsidP="00766224">
      <w:pPr>
        <w:pStyle w:val="Bodytext10"/>
        <w:numPr>
          <w:ilvl w:val="0"/>
          <w:numId w:val="11"/>
        </w:numPr>
        <w:tabs>
          <w:tab w:val="left" w:pos="1023"/>
        </w:tabs>
        <w:spacing w:line="252" w:lineRule="auto"/>
        <w:ind w:firstLine="740"/>
        <w:jc w:val="both"/>
      </w:pPr>
      <w:r>
        <w:rPr>
          <w:rStyle w:val="Bodytext1"/>
        </w:rPr>
        <w:t>Existing vessels with a gross tonnage of less than 400 GT certified to carry more than 15 persons;</w:t>
      </w:r>
    </w:p>
    <w:p w:rsidR="006F7987" w:rsidRDefault="004725E8">
      <w:pPr>
        <w:pStyle w:val="Bodytext10"/>
        <w:numPr>
          <w:ilvl w:val="0"/>
          <w:numId w:val="1"/>
        </w:numPr>
        <w:tabs>
          <w:tab w:val="left" w:pos="1001"/>
        </w:tabs>
        <w:spacing w:after="260" w:line="252" w:lineRule="auto"/>
        <w:ind w:firstLine="740"/>
        <w:jc w:val="both"/>
      </w:pPr>
      <w:r>
        <w:rPr>
          <w:rStyle w:val="Bodytext1"/>
        </w:rPr>
        <w:t>The Order shall not apply to military and military transport vessels, non-self-propelled ships, wooden ships of primitive construction, pleasure yachts not engaged in commercial activities and fishing vessels.</w:t>
      </w:r>
    </w:p>
    <w:p w:rsidR="006F7987" w:rsidRDefault="00D10527">
      <w:pPr>
        <w:pStyle w:val="Heading210"/>
        <w:keepNext/>
        <w:keepLines/>
        <w:jc w:val="both"/>
      </w:pPr>
      <w:bookmarkStart w:id="4" w:name="bookmark9"/>
      <w:r>
        <w:rPr>
          <w:rStyle w:val="Heading21"/>
          <w:b/>
        </w:rPr>
        <w:t>II</w:t>
      </w:r>
      <w:r w:rsidR="004725E8">
        <w:rPr>
          <w:rStyle w:val="Heading21"/>
          <w:b/>
        </w:rPr>
        <w:t>. Definition</w:t>
      </w:r>
      <w:bookmarkEnd w:id="4"/>
    </w:p>
    <w:p w:rsidR="006F7987" w:rsidRDefault="004725E8">
      <w:pPr>
        <w:pStyle w:val="Bodytext10"/>
        <w:spacing w:after="260" w:line="252" w:lineRule="auto"/>
        <w:ind w:firstLine="740"/>
        <w:jc w:val="both"/>
      </w:pPr>
      <w:r>
        <w:rPr>
          <w:rStyle w:val="Bodytext1"/>
        </w:rPr>
        <w:t xml:space="preserve">Untreated waste water within the meaning of Resolution MERC. 157(55) are </w:t>
      </w:r>
      <w:r w:rsidR="00766224">
        <w:rPr>
          <w:rStyle w:val="Bodytext1"/>
        </w:rPr>
        <w:t xml:space="preserve">waste water </w:t>
      </w:r>
      <w:r>
        <w:rPr>
          <w:rStyle w:val="Bodytext1"/>
        </w:rPr>
        <w:t>which have not been treated by a sewage treatment system or sewage crushing and decontamination system.</w:t>
      </w:r>
    </w:p>
    <w:p w:rsidR="006F7987" w:rsidRDefault="004725E8">
      <w:pPr>
        <w:pStyle w:val="Heading210"/>
        <w:keepNext/>
        <w:keepLines/>
        <w:numPr>
          <w:ilvl w:val="0"/>
          <w:numId w:val="3"/>
        </w:numPr>
        <w:tabs>
          <w:tab w:val="left" w:pos="1201"/>
        </w:tabs>
        <w:spacing w:line="254" w:lineRule="auto"/>
        <w:ind w:firstLine="740"/>
        <w:jc w:val="both"/>
      </w:pPr>
      <w:bookmarkStart w:id="5" w:name="bookmark11"/>
      <w:r>
        <w:rPr>
          <w:rStyle w:val="Heading21"/>
          <w:b/>
        </w:rPr>
        <w:t>Obligations of shipowners</w:t>
      </w:r>
      <w:bookmarkEnd w:id="5"/>
    </w:p>
    <w:p w:rsidR="006F7987" w:rsidRDefault="004725E8">
      <w:pPr>
        <w:pStyle w:val="Bodytext10"/>
        <w:numPr>
          <w:ilvl w:val="0"/>
          <w:numId w:val="4"/>
        </w:numPr>
        <w:tabs>
          <w:tab w:val="left" w:pos="1001"/>
        </w:tabs>
        <w:spacing w:line="254" w:lineRule="auto"/>
        <w:ind w:firstLine="740"/>
        <w:jc w:val="both"/>
      </w:pPr>
      <w:r>
        <w:rPr>
          <w:rStyle w:val="Bodytext1"/>
        </w:rPr>
        <w:t xml:space="preserve">Any shipowner of a ship falling within the scope of item 1. 2 is obliged to supply his ships with “A </w:t>
      </w:r>
      <w:r w:rsidR="003C275C">
        <w:rPr>
          <w:rStyle w:val="Bodytext1"/>
        </w:rPr>
        <w:t>declaration</w:t>
      </w:r>
      <w:r>
        <w:rPr>
          <w:rStyle w:val="Bodytext1"/>
        </w:rPr>
        <w:t xml:space="preserve"> of the intensity of discharge of untreated wastewater”.</w:t>
      </w:r>
    </w:p>
    <w:p w:rsidR="006F7987" w:rsidRDefault="004725E8">
      <w:pPr>
        <w:pStyle w:val="Bodytext10"/>
        <w:numPr>
          <w:ilvl w:val="0"/>
          <w:numId w:val="4"/>
        </w:numPr>
        <w:tabs>
          <w:tab w:val="left" w:pos="1001"/>
        </w:tabs>
        <w:spacing w:line="254" w:lineRule="auto"/>
        <w:ind w:firstLine="740"/>
        <w:jc w:val="both"/>
      </w:pPr>
      <w:r>
        <w:rPr>
          <w:rStyle w:val="Bodytext1"/>
        </w:rPr>
        <w:lastRenderedPageBreak/>
        <w:t>In order to supply the ship with an “</w:t>
      </w:r>
      <w:r w:rsidR="003C275C">
        <w:rPr>
          <w:rStyle w:val="Bodytext1"/>
        </w:rPr>
        <w:t>Calculation</w:t>
      </w:r>
      <w:r>
        <w:rPr>
          <w:rStyle w:val="Bodytext1"/>
        </w:rPr>
        <w:t xml:space="preserve"> of the intensity of discharge of </w:t>
      </w:r>
      <w:r w:rsidR="00766224">
        <w:rPr>
          <w:rStyle w:val="Bodytext1"/>
        </w:rPr>
        <w:t>untreated</w:t>
      </w:r>
      <w:r>
        <w:rPr>
          <w:rStyle w:val="Bodytext1"/>
        </w:rPr>
        <w:t xml:space="preserve"> waste water”, the shipowner shall submit an application to the Maritime Administration Directorate, where the vessel is registered, for the determination of the average intensity of discharge of </w:t>
      </w:r>
      <w:r w:rsidR="00766224">
        <w:rPr>
          <w:rStyle w:val="Bodytext1"/>
        </w:rPr>
        <w:t>untreated</w:t>
      </w:r>
      <w:r>
        <w:rPr>
          <w:rStyle w:val="Bodytext1"/>
        </w:rPr>
        <w:t xml:space="preserve"> waste water from ships.</w:t>
      </w:r>
    </w:p>
    <w:p w:rsidR="006F7987" w:rsidRDefault="004725E8">
      <w:pPr>
        <w:pStyle w:val="Bodytext10"/>
        <w:numPr>
          <w:ilvl w:val="0"/>
          <w:numId w:val="4"/>
        </w:numPr>
        <w:tabs>
          <w:tab w:val="left" w:pos="1008"/>
        </w:tabs>
        <w:spacing w:line="254" w:lineRule="auto"/>
        <w:ind w:firstLine="740"/>
        <w:jc w:val="both"/>
      </w:pPr>
      <w:r>
        <w:rPr>
          <w:rStyle w:val="Bodytext1"/>
        </w:rPr>
        <w:t>In the application, the shipowner shall provide the following details of the vessel: registration number/IMO number; shipowner/operator; the first ship in the series; maximum speed of vessel V in knots; maximum draught loaded dmax, (metres); operating draught at a minimum load on the ship d</w:t>
      </w:r>
      <w:r>
        <w:rPr>
          <w:rStyle w:val="Bodytext1"/>
          <w:vertAlign w:val="subscript"/>
        </w:rPr>
        <w:t>m</w:t>
      </w:r>
      <w:r>
        <w:rPr>
          <w:rStyle w:val="Bodytext1"/>
        </w:rPr>
        <w:t>in, (metres); the width of the vessel, (metres); pump performance, m</w:t>
      </w:r>
      <w:r>
        <w:rPr>
          <w:rStyle w:val="Bodytext1"/>
          <w:vertAlign w:val="superscript"/>
        </w:rPr>
        <w:t>3/h</w:t>
      </w:r>
      <w:r>
        <w:rPr>
          <w:rStyle w:val="Bodytext1"/>
        </w:rPr>
        <w:t>.</w:t>
      </w:r>
    </w:p>
    <w:p w:rsidR="006F7987" w:rsidRDefault="004725E8">
      <w:pPr>
        <w:pStyle w:val="Bodytext10"/>
        <w:numPr>
          <w:ilvl w:val="0"/>
          <w:numId w:val="4"/>
        </w:numPr>
        <w:tabs>
          <w:tab w:val="left" w:pos="1097"/>
        </w:tabs>
        <w:spacing w:line="259" w:lineRule="auto"/>
        <w:ind w:firstLine="740"/>
        <w:jc w:val="both"/>
      </w:pPr>
      <w:r>
        <w:rPr>
          <w:rStyle w:val="Bodytext1"/>
        </w:rPr>
        <w:t xml:space="preserve">Upon receipt of the approved “Report on the intensity of discharge of untreated wastewater”, the document shall be sent to the ship and attached to the “International </w:t>
      </w:r>
      <w:r w:rsidR="00766224">
        <w:rPr>
          <w:rStyle w:val="Bodytext1"/>
        </w:rPr>
        <w:t>Sewage</w:t>
      </w:r>
      <w:r>
        <w:rPr>
          <w:rStyle w:val="Bodytext1"/>
        </w:rPr>
        <w:t xml:space="preserve"> Pollution Prevention Certificate”.</w:t>
      </w:r>
    </w:p>
    <w:p w:rsidR="006F7987" w:rsidRDefault="004725E8">
      <w:pPr>
        <w:pStyle w:val="Bodytext10"/>
        <w:numPr>
          <w:ilvl w:val="0"/>
          <w:numId w:val="4"/>
        </w:numPr>
        <w:tabs>
          <w:tab w:val="left" w:pos="1097"/>
        </w:tabs>
        <w:spacing w:line="259" w:lineRule="auto"/>
        <w:ind w:firstLine="740"/>
        <w:jc w:val="both"/>
      </w:pPr>
      <w:r>
        <w:rPr>
          <w:rStyle w:val="Bodytext1"/>
        </w:rPr>
        <w:t xml:space="preserve">In the event of a change in the ship’s data submitted under item </w:t>
      </w:r>
      <w:r w:rsidR="00766224">
        <w:rPr>
          <w:rStyle w:val="Bodytext1"/>
        </w:rPr>
        <w:t>III.3</w:t>
      </w:r>
      <w:r>
        <w:rPr>
          <w:rStyle w:val="Bodytext1"/>
        </w:rPr>
        <w:t>., the shipowner shall inform the Maritime Administration Directorate, which has prepared an “</w:t>
      </w:r>
      <w:r w:rsidR="003C275C">
        <w:rPr>
          <w:rStyle w:val="Bodytext1"/>
        </w:rPr>
        <w:t>Calculation</w:t>
      </w:r>
      <w:r>
        <w:rPr>
          <w:rStyle w:val="Bodytext1"/>
        </w:rPr>
        <w:t xml:space="preserve"> of the inten</w:t>
      </w:r>
      <w:r w:rsidR="00672C6A">
        <w:rPr>
          <w:rStyle w:val="Bodytext1"/>
        </w:rPr>
        <w:t xml:space="preserve">sity of discharge of untreated </w:t>
      </w:r>
      <w:r w:rsidR="00766224">
        <w:rPr>
          <w:rStyle w:val="Bodytext1"/>
        </w:rPr>
        <w:t>waste water</w:t>
      </w:r>
      <w:r>
        <w:rPr>
          <w:rStyle w:val="Bodytext1"/>
        </w:rPr>
        <w:t>” for reissuance of the same.</w:t>
      </w:r>
    </w:p>
    <w:p w:rsidR="006F7987" w:rsidRDefault="004725E8">
      <w:pPr>
        <w:pStyle w:val="Bodytext10"/>
        <w:numPr>
          <w:ilvl w:val="0"/>
          <w:numId w:val="4"/>
        </w:numPr>
        <w:tabs>
          <w:tab w:val="left" w:pos="1097"/>
        </w:tabs>
        <w:spacing w:after="240" w:line="266" w:lineRule="auto"/>
        <w:ind w:firstLine="740"/>
        <w:jc w:val="both"/>
      </w:pPr>
      <w:r>
        <w:rPr>
          <w:rStyle w:val="Bodytext1"/>
        </w:rPr>
        <w:t xml:space="preserve">The shipowners shall include in the Company’s “Safety Management System” the </w:t>
      </w:r>
      <w:r>
        <w:rPr>
          <w:rStyle w:val="Bodytext1"/>
          <w:i/>
          <w:sz w:val="20"/>
        </w:rPr>
        <w:t>ensuing</w:t>
      </w:r>
      <w:r>
        <w:rPr>
          <w:rStyle w:val="Bodytext1"/>
        </w:rPr>
        <w:t xml:space="preserve"> obligations of the coastal management and the crew of the ship.</w:t>
      </w:r>
    </w:p>
    <w:p w:rsidR="006F7987" w:rsidRDefault="00D10527">
      <w:pPr>
        <w:pStyle w:val="Heading210"/>
        <w:keepNext/>
        <w:keepLines/>
        <w:numPr>
          <w:ilvl w:val="0"/>
          <w:numId w:val="3"/>
        </w:numPr>
        <w:tabs>
          <w:tab w:val="left" w:pos="1198"/>
        </w:tabs>
        <w:spacing w:line="257" w:lineRule="auto"/>
        <w:ind w:firstLine="740"/>
        <w:jc w:val="both"/>
      </w:pPr>
      <w:bookmarkStart w:id="6" w:name="bookmark13"/>
      <w:r>
        <w:rPr>
          <w:rStyle w:val="Heading21"/>
          <w:b/>
        </w:rPr>
        <w:t xml:space="preserve">Obligations </w:t>
      </w:r>
      <w:r w:rsidR="004725E8">
        <w:rPr>
          <w:rStyle w:val="Heading21"/>
          <w:b/>
        </w:rPr>
        <w:t>of the Maritime Administration Directorates</w:t>
      </w:r>
      <w:bookmarkEnd w:id="6"/>
    </w:p>
    <w:p w:rsidR="006F7987" w:rsidRDefault="004725E8">
      <w:pPr>
        <w:pStyle w:val="Bodytext10"/>
        <w:numPr>
          <w:ilvl w:val="0"/>
          <w:numId w:val="5"/>
        </w:numPr>
        <w:tabs>
          <w:tab w:val="left" w:pos="1097"/>
        </w:tabs>
        <w:ind w:firstLine="740"/>
        <w:jc w:val="both"/>
      </w:pPr>
      <w:r>
        <w:rPr>
          <w:rStyle w:val="Bodytext1"/>
        </w:rPr>
        <w:t>The Maritime Administration Directorate accepts the applications submitted by the shipowner for approval of the “Intensity of discharge intensity of untreated waste water”</w:t>
      </w:r>
    </w:p>
    <w:p w:rsidR="006F7987" w:rsidRDefault="004725E8">
      <w:pPr>
        <w:pStyle w:val="Bodytext10"/>
        <w:numPr>
          <w:ilvl w:val="0"/>
          <w:numId w:val="5"/>
        </w:numPr>
        <w:tabs>
          <w:tab w:val="left" w:pos="1097"/>
        </w:tabs>
        <w:ind w:firstLine="740"/>
        <w:jc w:val="both"/>
      </w:pPr>
      <w:r>
        <w:rPr>
          <w:rStyle w:val="Bodytext1"/>
        </w:rPr>
        <w:t>The staff of the relevant departments of the Maritime Administration Directorates check the consistency of the data in the submitted applications, perform the calculations in accordance with the methodology.</w:t>
      </w:r>
    </w:p>
    <w:p w:rsidR="006F7987" w:rsidRDefault="004725E8">
      <w:pPr>
        <w:pStyle w:val="Bodytext10"/>
        <w:numPr>
          <w:ilvl w:val="0"/>
          <w:numId w:val="5"/>
        </w:numPr>
        <w:tabs>
          <w:tab w:val="left" w:pos="1097"/>
        </w:tabs>
        <w:ind w:firstLine="740"/>
        <w:jc w:val="both"/>
      </w:pPr>
      <w:r>
        <w:rPr>
          <w:rStyle w:val="Bodytext1"/>
        </w:rPr>
        <w:t>The calculations shall be completed in a document in the form of the Annex to this Order and the document shall be approved by the Directors of the Maritime Administration Directorates.</w:t>
      </w:r>
    </w:p>
    <w:p w:rsidR="006F7987" w:rsidRDefault="004725E8">
      <w:pPr>
        <w:pStyle w:val="Bodytext10"/>
        <w:numPr>
          <w:ilvl w:val="0"/>
          <w:numId w:val="5"/>
        </w:numPr>
        <w:tabs>
          <w:tab w:val="left" w:pos="1097"/>
        </w:tabs>
        <w:spacing w:after="240"/>
        <w:ind w:firstLine="740"/>
        <w:jc w:val="both"/>
      </w:pPr>
      <w:r>
        <w:rPr>
          <w:rStyle w:val="Bodytext1"/>
        </w:rPr>
        <w:t>A copy of the approved “Export on the intensity of discharge of raw waste water” shall be kept in the ship’s file in the relevant Maritime Administration Directorate.</w:t>
      </w:r>
    </w:p>
    <w:p w:rsidR="006F7987" w:rsidRDefault="004725E8">
      <w:pPr>
        <w:pStyle w:val="Heading210"/>
        <w:keepNext/>
        <w:keepLines/>
        <w:numPr>
          <w:ilvl w:val="0"/>
          <w:numId w:val="3"/>
        </w:numPr>
        <w:tabs>
          <w:tab w:val="left" w:pos="1097"/>
        </w:tabs>
        <w:spacing w:line="266" w:lineRule="auto"/>
        <w:ind w:firstLine="740"/>
        <w:jc w:val="both"/>
      </w:pPr>
      <w:bookmarkStart w:id="7" w:name="bookmark15"/>
      <w:r>
        <w:rPr>
          <w:rStyle w:val="Heading21"/>
          <w:b/>
        </w:rPr>
        <w:t xml:space="preserve">Methodology for calculating the intensity of discharge of untreated </w:t>
      </w:r>
      <w:r w:rsidR="00766224">
        <w:rPr>
          <w:rStyle w:val="Bodytext1"/>
        </w:rPr>
        <w:t>waste water</w:t>
      </w:r>
      <w:r>
        <w:rPr>
          <w:rStyle w:val="Heading21"/>
          <w:b/>
        </w:rPr>
        <w:t xml:space="preserve"> from ships”</w:t>
      </w:r>
      <w:bookmarkEnd w:id="7"/>
    </w:p>
    <w:p w:rsidR="006F7987" w:rsidRDefault="004725E8">
      <w:pPr>
        <w:pStyle w:val="Bodytext10"/>
        <w:spacing w:line="266" w:lineRule="auto"/>
        <w:ind w:firstLine="700"/>
        <w:jc w:val="both"/>
      </w:pPr>
      <w:r>
        <w:rPr>
          <w:rStyle w:val="Bodytext1"/>
        </w:rPr>
        <w:t>1. The maximum permissible discharge intensity</w:t>
      </w:r>
      <w:r w:rsidR="003C275C">
        <w:rPr>
          <w:rStyle w:val="Bodytext1"/>
        </w:rPr>
        <w:t xml:space="preserve"> (rate)</w:t>
      </w:r>
      <w:r>
        <w:rPr>
          <w:rStyle w:val="Bodytext1"/>
        </w:rPr>
        <w:t xml:space="preserve"> is determined by the formula</w:t>
      </w:r>
    </w:p>
    <w:p w:rsidR="006F7987" w:rsidRDefault="004725E8">
      <w:pPr>
        <w:pStyle w:val="Bodytext10"/>
        <w:spacing w:line="266" w:lineRule="auto"/>
        <w:ind w:firstLine="700"/>
      </w:pPr>
      <w:r>
        <w:rPr>
          <w:rStyle w:val="Bodytext1"/>
          <w:b/>
        </w:rPr>
        <w:t xml:space="preserve">DRmax = 0.00926 V d B, </w:t>
      </w:r>
      <w:r>
        <w:rPr>
          <w:rStyle w:val="Bodytext1"/>
        </w:rPr>
        <w:t>m</w:t>
      </w:r>
      <w:r>
        <w:rPr>
          <w:rStyle w:val="Bodytext1"/>
          <w:vertAlign w:val="superscript"/>
        </w:rPr>
        <w:t>3</w:t>
      </w:r>
      <w:r>
        <w:rPr>
          <w:rStyle w:val="Bodytext1"/>
        </w:rPr>
        <w:t>/h, where</w:t>
      </w:r>
    </w:p>
    <w:p w:rsidR="006F7987" w:rsidRDefault="004725E8">
      <w:pPr>
        <w:pStyle w:val="Bodytext10"/>
        <w:spacing w:line="266" w:lineRule="auto"/>
        <w:ind w:firstLine="700"/>
        <w:jc w:val="both"/>
      </w:pPr>
      <w:r>
        <w:rPr>
          <w:rStyle w:val="Bodytext1"/>
        </w:rPr>
        <w:t>V — Speed of the vessel in knots at the time of discharge,</w:t>
      </w:r>
    </w:p>
    <w:p w:rsidR="006F7987" w:rsidRDefault="004725E8">
      <w:pPr>
        <w:pStyle w:val="Bodytext10"/>
        <w:spacing w:line="266" w:lineRule="auto"/>
        <w:ind w:firstLine="700"/>
        <w:jc w:val="both"/>
      </w:pPr>
      <w:r>
        <w:rPr>
          <w:rStyle w:val="Bodytext1"/>
        </w:rPr>
        <w:t>d- Gazene of the vessel in metres,</w:t>
      </w:r>
    </w:p>
    <w:p w:rsidR="006F7987" w:rsidRDefault="00766224">
      <w:pPr>
        <w:pStyle w:val="Bodytext10"/>
        <w:spacing w:after="100" w:line="266" w:lineRule="auto"/>
        <w:ind w:firstLine="700"/>
        <w:jc w:val="both"/>
      </w:pPr>
      <w:r>
        <w:rPr>
          <w:rStyle w:val="Bodytext1"/>
        </w:rPr>
        <w:t>B</w:t>
      </w:r>
      <w:r w:rsidR="004725E8">
        <w:rPr>
          <w:rStyle w:val="Bodytext1"/>
        </w:rPr>
        <w:t xml:space="preserve"> — The ship’s width in meters.</w:t>
      </w:r>
    </w:p>
    <w:p w:rsidR="006F7987" w:rsidRDefault="004725E8">
      <w:pPr>
        <w:pStyle w:val="Bodytext10"/>
        <w:spacing w:after="240" w:line="259" w:lineRule="auto"/>
        <w:ind w:firstLine="740"/>
        <w:jc w:val="both"/>
      </w:pPr>
      <w:r>
        <w:rPr>
          <w:rStyle w:val="Bodytext1"/>
        </w:rPr>
        <w:lastRenderedPageBreak/>
        <w:t>The results of the calculation for the different speeds shall be presented in the following table:</w:t>
      </w:r>
    </w:p>
    <w:p w:rsidR="006F7987" w:rsidRDefault="004725E8">
      <w:pPr>
        <w:pStyle w:val="Tablecaption10"/>
        <w:spacing w:line="240" w:lineRule="auto"/>
        <w:rPr>
          <w:sz w:val="22"/>
        </w:rPr>
      </w:pPr>
      <w:r>
        <w:rPr>
          <w:rStyle w:val="Tablecaption1"/>
          <w:sz w:val="22"/>
        </w:rPr>
        <w:t>Table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54"/>
        <w:gridCol w:w="1397"/>
        <w:gridCol w:w="1375"/>
        <w:gridCol w:w="1361"/>
        <w:gridCol w:w="1382"/>
        <w:gridCol w:w="1411"/>
      </w:tblGrid>
      <w:tr w:rsidR="006F7987">
        <w:trPr>
          <w:trHeight w:hRule="exact" w:val="288"/>
          <w:jc w:val="center"/>
        </w:trPr>
        <w:tc>
          <w:tcPr>
            <w:tcW w:w="8280" w:type="dxa"/>
            <w:gridSpan w:val="6"/>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40" w:lineRule="auto"/>
              <w:ind w:firstLine="0"/>
              <w:jc w:val="center"/>
            </w:pPr>
            <w:r>
              <w:rPr>
                <w:rStyle w:val="Other1"/>
              </w:rPr>
              <w:t>Discharge intensity,</w:t>
            </w:r>
            <w:r>
              <w:rPr>
                <w:rStyle w:val="Other1"/>
                <w:vertAlign w:val="superscript"/>
              </w:rPr>
              <w:t>m</w:t>
            </w:r>
            <w:r>
              <w:rPr>
                <w:rStyle w:val="Other1"/>
              </w:rPr>
              <w:t>3/h</w:t>
            </w:r>
          </w:p>
        </w:tc>
      </w:tr>
      <w:tr w:rsidR="006F7987">
        <w:trPr>
          <w:trHeight w:hRule="exact" w:val="281"/>
          <w:jc w:val="center"/>
        </w:trPr>
        <w:tc>
          <w:tcPr>
            <w:tcW w:w="1354" w:type="dxa"/>
            <w:vMerge w:val="restart"/>
            <w:tcBorders>
              <w:top w:val="single" w:sz="4" w:space="0" w:color="auto"/>
              <w:left w:val="single" w:sz="4" w:space="0" w:color="auto"/>
            </w:tcBorders>
            <w:shd w:val="clear" w:color="auto" w:fill="auto"/>
            <w:vAlign w:val="center"/>
          </w:tcPr>
          <w:p w:rsidR="006F7987" w:rsidRDefault="004725E8">
            <w:pPr>
              <w:pStyle w:val="Other10"/>
              <w:spacing w:line="240" w:lineRule="auto"/>
              <w:ind w:firstLine="0"/>
              <w:jc w:val="center"/>
            </w:pPr>
            <w:r>
              <w:rPr>
                <w:rStyle w:val="Other1"/>
              </w:rPr>
              <w:t>Draught, m/</w:t>
            </w:r>
          </w:p>
        </w:tc>
        <w:tc>
          <w:tcPr>
            <w:tcW w:w="6926" w:type="dxa"/>
            <w:gridSpan w:val="5"/>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40" w:lineRule="auto"/>
              <w:ind w:firstLine="0"/>
              <w:jc w:val="center"/>
            </w:pPr>
            <w:r>
              <w:rPr>
                <w:rStyle w:val="Other1"/>
              </w:rPr>
              <w:t>Speed, knots</w:t>
            </w:r>
          </w:p>
        </w:tc>
      </w:tr>
      <w:tr w:rsidR="006F7987">
        <w:trPr>
          <w:trHeight w:hRule="exact" w:val="295"/>
          <w:jc w:val="center"/>
        </w:trPr>
        <w:tc>
          <w:tcPr>
            <w:tcW w:w="1354" w:type="dxa"/>
            <w:vMerge/>
            <w:tcBorders>
              <w:left w:val="single" w:sz="4" w:space="0" w:color="auto"/>
            </w:tcBorders>
            <w:shd w:val="clear" w:color="auto" w:fill="auto"/>
            <w:vAlign w:val="center"/>
          </w:tcPr>
          <w:p w:rsidR="006F7987" w:rsidRDefault="006F7987"/>
        </w:tc>
        <w:tc>
          <w:tcPr>
            <w:tcW w:w="1397"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V</w:t>
            </w:r>
            <w:r>
              <w:rPr>
                <w:rStyle w:val="Other1"/>
                <w:vertAlign w:val="subscript"/>
              </w:rPr>
              <w:t>min</w:t>
            </w:r>
            <w:r>
              <w:rPr>
                <w:rStyle w:val="Other1"/>
              </w:rPr>
              <w:t>&gt; 4</w:t>
            </w:r>
          </w:p>
        </w:tc>
        <w:tc>
          <w:tcPr>
            <w:tcW w:w="1375"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(V)</w:t>
            </w:r>
          </w:p>
        </w:tc>
        <w:tc>
          <w:tcPr>
            <w:tcW w:w="1361"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w:t>
            </w:r>
            <w:r>
              <w:rPr>
                <w:rStyle w:val="Other1"/>
                <w:sz w:val="15"/>
                <w:vertAlign w:val="subscript"/>
              </w:rPr>
              <w:t>2</w:t>
            </w:r>
          </w:p>
        </w:tc>
        <w:tc>
          <w:tcPr>
            <w:tcW w:w="1382"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w:t>
            </w:r>
            <w:r>
              <w:rPr>
                <w:rStyle w:val="Other1"/>
                <w:sz w:val="15"/>
                <w:vertAlign w:val="subscript"/>
              </w:rPr>
              <w:t>3</w:t>
            </w:r>
          </w:p>
        </w:tc>
        <w:tc>
          <w:tcPr>
            <w:tcW w:w="1411" w:type="dxa"/>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 max</w:t>
            </w:r>
          </w:p>
        </w:tc>
      </w:tr>
      <w:tr w:rsidR="006F7987">
        <w:trPr>
          <w:trHeight w:hRule="exact" w:val="281"/>
          <w:jc w:val="center"/>
        </w:trPr>
        <w:tc>
          <w:tcPr>
            <w:tcW w:w="1354"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the Dmin</w:t>
            </w:r>
          </w:p>
        </w:tc>
        <w:tc>
          <w:tcPr>
            <w:tcW w:w="1397" w:type="dxa"/>
            <w:tcBorders>
              <w:top w:val="single" w:sz="4" w:space="0" w:color="auto"/>
              <w:left w:val="single" w:sz="4" w:space="0" w:color="auto"/>
            </w:tcBorders>
            <w:shd w:val="clear" w:color="auto" w:fill="auto"/>
          </w:tcPr>
          <w:p w:rsidR="006F7987" w:rsidRDefault="006F7987">
            <w:pPr>
              <w:rPr>
                <w:sz w:val="10"/>
              </w:rPr>
            </w:pPr>
          </w:p>
        </w:tc>
        <w:tc>
          <w:tcPr>
            <w:tcW w:w="1375" w:type="dxa"/>
            <w:tcBorders>
              <w:top w:val="single" w:sz="4" w:space="0" w:color="auto"/>
              <w:left w:val="single" w:sz="4" w:space="0" w:color="auto"/>
            </w:tcBorders>
            <w:shd w:val="clear" w:color="auto" w:fill="auto"/>
          </w:tcPr>
          <w:p w:rsidR="006F7987" w:rsidRDefault="006F7987">
            <w:pPr>
              <w:rPr>
                <w:sz w:val="10"/>
              </w:rPr>
            </w:pPr>
          </w:p>
        </w:tc>
        <w:tc>
          <w:tcPr>
            <w:tcW w:w="1361" w:type="dxa"/>
            <w:tcBorders>
              <w:top w:val="single" w:sz="4" w:space="0" w:color="auto"/>
              <w:left w:val="single" w:sz="4" w:space="0" w:color="auto"/>
            </w:tcBorders>
            <w:shd w:val="clear" w:color="auto" w:fill="auto"/>
          </w:tcPr>
          <w:p w:rsidR="006F7987" w:rsidRDefault="006F7987">
            <w:pPr>
              <w:rPr>
                <w:sz w:val="10"/>
              </w:rPr>
            </w:pPr>
          </w:p>
        </w:tc>
        <w:tc>
          <w:tcPr>
            <w:tcW w:w="1382" w:type="dxa"/>
            <w:tcBorders>
              <w:top w:val="single" w:sz="4" w:space="0" w:color="auto"/>
              <w:left w:val="single" w:sz="4" w:space="0" w:color="auto"/>
            </w:tcBorders>
            <w:shd w:val="clear" w:color="auto" w:fill="auto"/>
          </w:tcPr>
          <w:p w:rsidR="006F7987" w:rsidRDefault="006F7987">
            <w:pPr>
              <w:rPr>
                <w:sz w:val="10"/>
              </w:rPr>
            </w:pPr>
          </w:p>
        </w:tc>
        <w:tc>
          <w:tcPr>
            <w:tcW w:w="1411"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81"/>
          <w:jc w:val="center"/>
        </w:trPr>
        <w:tc>
          <w:tcPr>
            <w:tcW w:w="1354"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D</w:t>
            </w:r>
            <w:r w:rsidR="00766224">
              <w:rPr>
                <w:rStyle w:val="Other1"/>
              </w:rPr>
              <w:t>1</w:t>
            </w:r>
          </w:p>
        </w:tc>
        <w:tc>
          <w:tcPr>
            <w:tcW w:w="1397" w:type="dxa"/>
            <w:tcBorders>
              <w:top w:val="single" w:sz="4" w:space="0" w:color="auto"/>
              <w:left w:val="single" w:sz="4" w:space="0" w:color="auto"/>
            </w:tcBorders>
            <w:shd w:val="clear" w:color="auto" w:fill="auto"/>
          </w:tcPr>
          <w:p w:rsidR="006F7987" w:rsidRDefault="006F7987">
            <w:pPr>
              <w:rPr>
                <w:sz w:val="10"/>
              </w:rPr>
            </w:pPr>
          </w:p>
        </w:tc>
        <w:tc>
          <w:tcPr>
            <w:tcW w:w="1375" w:type="dxa"/>
            <w:tcBorders>
              <w:top w:val="single" w:sz="4" w:space="0" w:color="auto"/>
              <w:left w:val="single" w:sz="4" w:space="0" w:color="auto"/>
            </w:tcBorders>
            <w:shd w:val="clear" w:color="auto" w:fill="auto"/>
          </w:tcPr>
          <w:p w:rsidR="006F7987" w:rsidRDefault="006F7987">
            <w:pPr>
              <w:rPr>
                <w:sz w:val="10"/>
              </w:rPr>
            </w:pPr>
          </w:p>
        </w:tc>
        <w:tc>
          <w:tcPr>
            <w:tcW w:w="1361" w:type="dxa"/>
            <w:tcBorders>
              <w:top w:val="single" w:sz="4" w:space="0" w:color="auto"/>
              <w:left w:val="single" w:sz="4" w:space="0" w:color="auto"/>
            </w:tcBorders>
            <w:shd w:val="clear" w:color="auto" w:fill="auto"/>
          </w:tcPr>
          <w:p w:rsidR="006F7987" w:rsidRDefault="006F7987">
            <w:pPr>
              <w:rPr>
                <w:sz w:val="10"/>
              </w:rPr>
            </w:pPr>
          </w:p>
        </w:tc>
        <w:tc>
          <w:tcPr>
            <w:tcW w:w="1382" w:type="dxa"/>
            <w:tcBorders>
              <w:top w:val="single" w:sz="4" w:space="0" w:color="auto"/>
              <w:left w:val="single" w:sz="4" w:space="0" w:color="auto"/>
            </w:tcBorders>
            <w:shd w:val="clear" w:color="auto" w:fill="auto"/>
          </w:tcPr>
          <w:p w:rsidR="006F7987" w:rsidRDefault="006F7987">
            <w:pPr>
              <w:rPr>
                <w:sz w:val="10"/>
              </w:rPr>
            </w:pPr>
          </w:p>
        </w:tc>
        <w:tc>
          <w:tcPr>
            <w:tcW w:w="1411"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81"/>
          <w:jc w:val="center"/>
        </w:trPr>
        <w:tc>
          <w:tcPr>
            <w:tcW w:w="1354" w:type="dxa"/>
            <w:tcBorders>
              <w:top w:val="single" w:sz="4" w:space="0" w:color="auto"/>
              <w:left w:val="single" w:sz="4" w:space="0" w:color="auto"/>
            </w:tcBorders>
            <w:shd w:val="clear" w:color="auto" w:fill="auto"/>
            <w:vAlign w:val="bottom"/>
          </w:tcPr>
          <w:p w:rsidR="006F7987" w:rsidRDefault="00766224">
            <w:pPr>
              <w:pStyle w:val="Other10"/>
              <w:spacing w:line="240" w:lineRule="auto"/>
              <w:ind w:firstLine="0"/>
              <w:jc w:val="center"/>
            </w:pPr>
            <w:r>
              <w:rPr>
                <w:rStyle w:val="Other1"/>
              </w:rPr>
              <w:t>D2</w:t>
            </w:r>
          </w:p>
        </w:tc>
        <w:tc>
          <w:tcPr>
            <w:tcW w:w="1397" w:type="dxa"/>
            <w:tcBorders>
              <w:top w:val="single" w:sz="4" w:space="0" w:color="auto"/>
              <w:left w:val="single" w:sz="4" w:space="0" w:color="auto"/>
            </w:tcBorders>
            <w:shd w:val="clear" w:color="auto" w:fill="auto"/>
          </w:tcPr>
          <w:p w:rsidR="006F7987" w:rsidRDefault="006F7987">
            <w:pPr>
              <w:rPr>
                <w:sz w:val="10"/>
              </w:rPr>
            </w:pPr>
          </w:p>
        </w:tc>
        <w:tc>
          <w:tcPr>
            <w:tcW w:w="1375" w:type="dxa"/>
            <w:tcBorders>
              <w:top w:val="single" w:sz="4" w:space="0" w:color="auto"/>
              <w:left w:val="single" w:sz="4" w:space="0" w:color="auto"/>
            </w:tcBorders>
            <w:shd w:val="clear" w:color="auto" w:fill="auto"/>
          </w:tcPr>
          <w:p w:rsidR="006F7987" w:rsidRDefault="006F7987">
            <w:pPr>
              <w:rPr>
                <w:sz w:val="10"/>
              </w:rPr>
            </w:pPr>
          </w:p>
        </w:tc>
        <w:tc>
          <w:tcPr>
            <w:tcW w:w="1361" w:type="dxa"/>
            <w:tcBorders>
              <w:top w:val="single" w:sz="4" w:space="0" w:color="auto"/>
              <w:left w:val="single" w:sz="4" w:space="0" w:color="auto"/>
            </w:tcBorders>
            <w:shd w:val="clear" w:color="auto" w:fill="auto"/>
          </w:tcPr>
          <w:p w:rsidR="006F7987" w:rsidRDefault="006F7987">
            <w:pPr>
              <w:rPr>
                <w:sz w:val="10"/>
              </w:rPr>
            </w:pPr>
          </w:p>
        </w:tc>
        <w:tc>
          <w:tcPr>
            <w:tcW w:w="1382" w:type="dxa"/>
            <w:tcBorders>
              <w:top w:val="single" w:sz="4" w:space="0" w:color="auto"/>
              <w:left w:val="single" w:sz="4" w:space="0" w:color="auto"/>
            </w:tcBorders>
            <w:shd w:val="clear" w:color="auto" w:fill="auto"/>
          </w:tcPr>
          <w:p w:rsidR="006F7987" w:rsidRDefault="006F7987">
            <w:pPr>
              <w:rPr>
                <w:sz w:val="10"/>
              </w:rPr>
            </w:pPr>
          </w:p>
        </w:tc>
        <w:tc>
          <w:tcPr>
            <w:tcW w:w="1411"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88"/>
          <w:jc w:val="center"/>
        </w:trPr>
        <w:tc>
          <w:tcPr>
            <w:tcW w:w="1354" w:type="dxa"/>
            <w:tcBorders>
              <w:top w:val="single" w:sz="4" w:space="0" w:color="auto"/>
              <w:left w:val="single" w:sz="4" w:space="0" w:color="auto"/>
              <w:bottom w:val="single" w:sz="4" w:space="0" w:color="auto"/>
            </w:tcBorders>
            <w:shd w:val="clear" w:color="auto" w:fill="auto"/>
            <w:vAlign w:val="bottom"/>
          </w:tcPr>
          <w:p w:rsidR="006F7987" w:rsidRDefault="004725E8">
            <w:pPr>
              <w:pStyle w:val="Other10"/>
              <w:spacing w:line="240" w:lineRule="auto"/>
              <w:ind w:firstLine="0"/>
              <w:jc w:val="center"/>
            </w:pPr>
            <w:r>
              <w:rPr>
                <w:rStyle w:val="Other1"/>
              </w:rPr>
              <w:t>Dmax Summer</w:t>
            </w:r>
          </w:p>
        </w:tc>
        <w:tc>
          <w:tcPr>
            <w:tcW w:w="1397"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375"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361"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382"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6F7987" w:rsidRDefault="006F7987">
            <w:pPr>
              <w:rPr>
                <w:sz w:val="10"/>
              </w:rPr>
            </w:pPr>
          </w:p>
        </w:tc>
      </w:tr>
    </w:tbl>
    <w:p w:rsidR="006F7987" w:rsidRDefault="004725E8">
      <w:pPr>
        <w:pStyle w:val="Tablecaption10"/>
        <w:spacing w:line="264" w:lineRule="auto"/>
      </w:pPr>
      <w:r>
        <w:rPr>
          <w:rStyle w:val="Tablecaption1"/>
          <w:i/>
          <w:u w:val="single"/>
        </w:rPr>
        <w:t>Please note:</w:t>
      </w:r>
      <w:r>
        <w:rPr>
          <w:rStyle w:val="Tablecaption1"/>
          <w:i/>
        </w:rPr>
        <w:t xml:space="preserve"> The speed and draught data of the vessel shall depend on the particulars of the vessel concerned. The minimum speed of the ship cannot be but small of 4 knots.</w:t>
      </w:r>
    </w:p>
    <w:p w:rsidR="00D10527" w:rsidRDefault="004725E8">
      <w:pPr>
        <w:pStyle w:val="Bodytext10"/>
        <w:ind w:firstLine="700"/>
        <w:jc w:val="both"/>
        <w:rPr>
          <w:rStyle w:val="Bodytext1"/>
        </w:rPr>
      </w:pPr>
      <w:r>
        <w:rPr>
          <w:rStyle w:val="Bodytext1"/>
        </w:rPr>
        <w:t>The choice of the ship’s operating parameters (V and d) shall be made so that the actual intensity of discharge of the raw waste water does not exceed the meanings of the calculated maximum permissible discharge intensity, i.e. the following condition is fulfilled:</w:t>
      </w:r>
    </w:p>
    <w:p w:rsidR="00D10527" w:rsidRDefault="00D10527">
      <w:pPr>
        <w:rPr>
          <w:rStyle w:val="Bodytext1"/>
        </w:rPr>
      </w:pPr>
      <w:r>
        <w:rPr>
          <w:rStyle w:val="Bodytext1"/>
        </w:rPr>
        <w:br w:type="page"/>
      </w:r>
    </w:p>
    <w:p w:rsidR="006F7987" w:rsidRDefault="006F7987">
      <w:pPr>
        <w:pStyle w:val="Bodytext10"/>
        <w:ind w:firstLine="700"/>
        <w:jc w:val="both"/>
      </w:pPr>
    </w:p>
    <w:p w:rsidR="006F7987" w:rsidRDefault="004725E8">
      <w:pPr>
        <w:pStyle w:val="Bodytext10"/>
        <w:spacing w:line="259" w:lineRule="auto"/>
        <w:ind w:firstLine="0"/>
        <w:jc w:val="both"/>
      </w:pPr>
      <w:r>
        <w:rPr>
          <w:rStyle w:val="Bodytext1"/>
        </w:rPr>
        <w:t xml:space="preserve">Qpump </w:t>
      </w:r>
      <w:r w:rsidR="00766224">
        <w:rPr>
          <w:rStyle w:val="Bodytext1"/>
          <w:b/>
        </w:rPr>
        <w:t>≤</w:t>
      </w:r>
      <w:r>
        <w:rPr>
          <w:rStyle w:val="Bodytext1"/>
          <w:b/>
        </w:rPr>
        <w:t xml:space="preserve"> DRmax </w:t>
      </w:r>
      <w:r>
        <w:rPr>
          <w:rStyle w:val="Bodytext1"/>
        </w:rPr>
        <w:t>where</w:t>
      </w:r>
    </w:p>
    <w:p w:rsidR="006F7987" w:rsidRDefault="004725E8">
      <w:pPr>
        <w:pStyle w:val="Bodytext10"/>
        <w:spacing w:after="100" w:line="259" w:lineRule="auto"/>
        <w:ind w:firstLine="0"/>
        <w:jc w:val="both"/>
      </w:pPr>
      <w:r>
        <w:rPr>
          <w:rStyle w:val="Bodytext1"/>
          <w:vertAlign w:val="subscript"/>
        </w:rPr>
        <w:t>Q</w:t>
      </w:r>
      <w:r w:rsidR="00766224">
        <w:rPr>
          <w:rStyle w:val="Bodytext1"/>
        </w:rPr>
        <w:t>pum</w:t>
      </w:r>
      <w:r>
        <w:rPr>
          <w:rStyle w:val="Bodytext1"/>
        </w:rPr>
        <w:t>- fixed pump performance (</w:t>
      </w:r>
      <w:r>
        <w:rPr>
          <w:rStyle w:val="Bodytext1"/>
          <w:vertAlign w:val="superscript"/>
        </w:rPr>
        <w:t>m³/h</w:t>
      </w:r>
      <w:r>
        <w:rPr>
          <w:rStyle w:val="Bodytext1"/>
        </w:rPr>
        <w:t>)</w:t>
      </w:r>
    </w:p>
    <w:p w:rsidR="006F7987" w:rsidRDefault="004725E8">
      <w:pPr>
        <w:pStyle w:val="Bodytext10"/>
        <w:spacing w:after="100" w:line="259" w:lineRule="auto"/>
        <w:ind w:firstLine="700"/>
        <w:jc w:val="both"/>
      </w:pPr>
      <w:r>
        <w:rPr>
          <w:rStyle w:val="Bodytext1"/>
        </w:rPr>
        <w:t>On the basis of the choice of permissible DRmax meanings in accordance with the calculated meanings given in Table 1, the following minimum operating speed values of the vessel V</w:t>
      </w:r>
      <w:r w:rsidRPr="00766224">
        <w:rPr>
          <w:rStyle w:val="Bodytext1"/>
        </w:rPr>
        <w:t>m</w:t>
      </w:r>
      <w:r w:rsidR="00766224" w:rsidRPr="00766224">
        <w:rPr>
          <w:rStyle w:val="Bodytext1"/>
        </w:rPr>
        <w:t>i</w:t>
      </w:r>
      <w:r w:rsidRPr="00766224">
        <w:rPr>
          <w:rStyle w:val="Bodytext1"/>
        </w:rPr>
        <w:t>n</w:t>
      </w:r>
      <w:r>
        <w:rPr>
          <w:rStyle w:val="Bodytext1"/>
        </w:rPr>
        <w:t xml:space="preserve"> depending on the ship’s operating draught are allowed:</w:t>
      </w:r>
    </w:p>
    <w:p w:rsidR="006F7987" w:rsidRDefault="00766224">
      <w:pPr>
        <w:pStyle w:val="Tablecaption10"/>
        <w:spacing w:line="240" w:lineRule="auto"/>
        <w:ind w:left="79"/>
        <w:rPr>
          <w:sz w:val="22"/>
        </w:rPr>
      </w:pPr>
      <w:r>
        <w:rPr>
          <w:rStyle w:val="Tablecaption1"/>
          <w:sz w:val="22"/>
        </w:rPr>
        <w:t>tabl</w:t>
      </w:r>
      <w:r w:rsidR="004725E8">
        <w:rPr>
          <w:rStyle w:val="Tablecaption1"/>
          <w:sz w:val="22"/>
        </w:rPr>
        <w:t>e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872"/>
      </w:tblGrid>
      <w:tr w:rsidR="006F7987">
        <w:trPr>
          <w:trHeight w:hRule="exact" w:val="547"/>
          <w:jc w:val="center"/>
        </w:trPr>
        <w:tc>
          <w:tcPr>
            <w:tcW w:w="1541" w:type="dxa"/>
            <w:tcBorders>
              <w:top w:val="single" w:sz="4" w:space="0" w:color="auto"/>
              <w:left w:val="single" w:sz="4" w:space="0" w:color="auto"/>
            </w:tcBorders>
            <w:shd w:val="clear" w:color="auto" w:fill="auto"/>
            <w:vAlign w:val="bottom"/>
          </w:tcPr>
          <w:p w:rsidR="006F7987" w:rsidRDefault="003C275C">
            <w:pPr>
              <w:pStyle w:val="Other10"/>
              <w:spacing w:line="252" w:lineRule="auto"/>
              <w:ind w:firstLine="0"/>
              <w:jc w:val="center"/>
            </w:pPr>
            <w:r>
              <w:rPr>
                <w:rStyle w:val="Other1"/>
              </w:rPr>
              <w:t>S</w:t>
            </w:r>
            <w:r w:rsidR="004725E8">
              <w:rPr>
                <w:rStyle w:val="Other1"/>
              </w:rPr>
              <w:t>hip’s draught</w:t>
            </w:r>
          </w:p>
        </w:tc>
        <w:tc>
          <w:tcPr>
            <w:tcW w:w="1872" w:type="dxa"/>
            <w:tcBorders>
              <w:top w:val="single" w:sz="4" w:space="0" w:color="auto"/>
              <w:left w:val="single" w:sz="4" w:space="0" w:color="auto"/>
              <w:right w:val="single" w:sz="4" w:space="0" w:color="auto"/>
            </w:tcBorders>
            <w:shd w:val="clear" w:color="auto" w:fill="auto"/>
          </w:tcPr>
          <w:p w:rsidR="006F7987" w:rsidRDefault="004725E8">
            <w:pPr>
              <w:pStyle w:val="Other10"/>
              <w:spacing w:line="240" w:lineRule="auto"/>
              <w:ind w:firstLine="0"/>
              <w:jc w:val="center"/>
            </w:pPr>
            <w:r>
              <w:rPr>
                <w:rStyle w:val="Other1"/>
              </w:rPr>
              <w:t>Speed, knots</w:t>
            </w:r>
          </w:p>
        </w:tc>
      </w:tr>
      <w:tr w:rsidR="006F7987">
        <w:trPr>
          <w:trHeight w:hRule="exact" w:val="302"/>
          <w:jc w:val="center"/>
        </w:trPr>
        <w:tc>
          <w:tcPr>
            <w:tcW w:w="1541"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Dmin</w:t>
            </w:r>
          </w:p>
        </w:tc>
        <w:tc>
          <w:tcPr>
            <w:tcW w:w="1872" w:type="dxa"/>
            <w:tcBorders>
              <w:top w:val="single" w:sz="4" w:space="0" w:color="auto"/>
              <w:left w:val="single" w:sz="4" w:space="0" w:color="auto"/>
              <w:right w:val="single" w:sz="4" w:space="0" w:color="auto"/>
            </w:tcBorders>
            <w:shd w:val="clear" w:color="auto" w:fill="auto"/>
            <w:vAlign w:val="bottom"/>
          </w:tcPr>
          <w:p w:rsidR="006F7987" w:rsidRDefault="004725E8" w:rsidP="00B043B2">
            <w:pPr>
              <w:pStyle w:val="Other10"/>
              <w:spacing w:line="240" w:lineRule="auto"/>
              <w:ind w:firstLine="0"/>
              <w:jc w:val="center"/>
              <w:rPr>
                <w:sz w:val="15"/>
              </w:rPr>
            </w:pPr>
            <w:r>
              <w:rPr>
                <w:rStyle w:val="Other1"/>
                <w:sz w:val="15"/>
              </w:rPr>
              <w:t>V</w:t>
            </w:r>
            <w:r>
              <w:rPr>
                <w:rStyle w:val="Other1"/>
                <w:sz w:val="15"/>
                <w:vertAlign w:val="subscript"/>
              </w:rPr>
              <w:t>min</w:t>
            </w:r>
            <w:r w:rsidR="00B043B2">
              <w:rPr>
                <w:rStyle w:val="Other1"/>
                <w:sz w:val="15"/>
              </w:rPr>
              <w:t>≥</w:t>
            </w:r>
            <w:r>
              <w:rPr>
                <w:rStyle w:val="Other1"/>
                <w:sz w:val="15"/>
              </w:rPr>
              <w:t>v</w:t>
            </w:r>
            <w:r>
              <w:rPr>
                <w:rStyle w:val="Other1"/>
                <w:sz w:val="15"/>
                <w:vertAlign w:val="subscript"/>
              </w:rPr>
              <w:t>3</w:t>
            </w:r>
          </w:p>
        </w:tc>
      </w:tr>
      <w:tr w:rsidR="006F7987">
        <w:trPr>
          <w:trHeight w:hRule="exact" w:val="288"/>
          <w:jc w:val="center"/>
        </w:trPr>
        <w:tc>
          <w:tcPr>
            <w:tcW w:w="1541" w:type="dxa"/>
            <w:tcBorders>
              <w:top w:val="single" w:sz="4" w:space="0" w:color="auto"/>
              <w:left w:val="single" w:sz="4" w:space="0" w:color="auto"/>
            </w:tcBorders>
            <w:shd w:val="clear" w:color="auto" w:fill="auto"/>
            <w:vAlign w:val="bottom"/>
          </w:tcPr>
          <w:p w:rsidR="006F7987" w:rsidRDefault="00766224">
            <w:pPr>
              <w:pStyle w:val="Other10"/>
              <w:spacing w:line="240" w:lineRule="auto"/>
              <w:ind w:firstLine="0"/>
              <w:jc w:val="center"/>
              <w:rPr>
                <w:sz w:val="15"/>
              </w:rPr>
            </w:pPr>
            <w:r>
              <w:rPr>
                <w:rStyle w:val="Other1"/>
                <w:sz w:val="15"/>
              </w:rPr>
              <w:t>D1</w:t>
            </w:r>
          </w:p>
        </w:tc>
        <w:tc>
          <w:tcPr>
            <w:tcW w:w="1872" w:type="dxa"/>
            <w:tcBorders>
              <w:top w:val="single" w:sz="4" w:space="0" w:color="auto"/>
              <w:left w:val="single" w:sz="4" w:space="0" w:color="auto"/>
              <w:right w:val="single" w:sz="4" w:space="0" w:color="auto"/>
            </w:tcBorders>
            <w:shd w:val="clear" w:color="auto" w:fill="auto"/>
            <w:vAlign w:val="bottom"/>
          </w:tcPr>
          <w:p w:rsidR="006F7987" w:rsidRDefault="004725E8" w:rsidP="00B043B2">
            <w:pPr>
              <w:pStyle w:val="Other10"/>
              <w:spacing w:line="240" w:lineRule="auto"/>
              <w:ind w:firstLine="460"/>
              <w:rPr>
                <w:sz w:val="15"/>
              </w:rPr>
            </w:pPr>
            <w:r>
              <w:rPr>
                <w:rStyle w:val="Other1"/>
                <w:sz w:val="15"/>
              </w:rPr>
              <w:t>V</w:t>
            </w:r>
            <w:r>
              <w:rPr>
                <w:rStyle w:val="Other1"/>
                <w:sz w:val="15"/>
                <w:vertAlign w:val="subscript"/>
              </w:rPr>
              <w:t>min</w:t>
            </w:r>
            <w:r w:rsidR="00B043B2">
              <w:rPr>
                <w:rStyle w:val="Other1"/>
                <w:sz w:val="15"/>
              </w:rPr>
              <w:t>≥</w:t>
            </w:r>
            <w:r>
              <w:rPr>
                <w:rStyle w:val="Other1"/>
                <w:sz w:val="15"/>
              </w:rPr>
              <w:t>v</w:t>
            </w:r>
            <w:r>
              <w:rPr>
                <w:rStyle w:val="Other1"/>
                <w:sz w:val="15"/>
                <w:vertAlign w:val="subscript"/>
              </w:rPr>
              <w:t>2</w:t>
            </w:r>
          </w:p>
        </w:tc>
      </w:tr>
      <w:tr w:rsidR="006F7987">
        <w:trPr>
          <w:trHeight w:hRule="exact" w:val="295"/>
          <w:jc w:val="center"/>
        </w:trPr>
        <w:tc>
          <w:tcPr>
            <w:tcW w:w="1541" w:type="dxa"/>
            <w:tcBorders>
              <w:top w:val="single" w:sz="4" w:space="0" w:color="auto"/>
              <w:left w:val="single" w:sz="4" w:space="0" w:color="auto"/>
            </w:tcBorders>
            <w:shd w:val="clear" w:color="auto" w:fill="auto"/>
            <w:vAlign w:val="bottom"/>
          </w:tcPr>
          <w:p w:rsidR="006F7987" w:rsidRDefault="00766224">
            <w:pPr>
              <w:pStyle w:val="Other10"/>
              <w:spacing w:line="240" w:lineRule="auto"/>
              <w:ind w:firstLine="0"/>
              <w:jc w:val="center"/>
              <w:rPr>
                <w:sz w:val="15"/>
              </w:rPr>
            </w:pPr>
            <w:r>
              <w:rPr>
                <w:rStyle w:val="Other1"/>
                <w:sz w:val="15"/>
              </w:rPr>
              <w:t>D2</w:t>
            </w:r>
          </w:p>
        </w:tc>
        <w:tc>
          <w:tcPr>
            <w:tcW w:w="1872" w:type="dxa"/>
            <w:tcBorders>
              <w:top w:val="single" w:sz="4" w:space="0" w:color="auto"/>
              <w:left w:val="single" w:sz="4" w:space="0" w:color="auto"/>
              <w:right w:val="single" w:sz="4" w:space="0" w:color="auto"/>
            </w:tcBorders>
            <w:shd w:val="clear" w:color="auto" w:fill="auto"/>
            <w:vAlign w:val="bottom"/>
          </w:tcPr>
          <w:p w:rsidR="006F7987" w:rsidRDefault="004725E8" w:rsidP="00B043B2">
            <w:pPr>
              <w:pStyle w:val="Other10"/>
              <w:spacing w:line="240" w:lineRule="auto"/>
              <w:ind w:firstLine="460"/>
              <w:rPr>
                <w:sz w:val="15"/>
              </w:rPr>
            </w:pPr>
            <w:r>
              <w:rPr>
                <w:rStyle w:val="Other1"/>
                <w:sz w:val="15"/>
              </w:rPr>
              <w:t>V</w:t>
            </w:r>
            <w:r>
              <w:rPr>
                <w:rStyle w:val="Other1"/>
                <w:sz w:val="15"/>
                <w:vertAlign w:val="subscript"/>
              </w:rPr>
              <w:t>min</w:t>
            </w:r>
            <w:r w:rsidR="00B043B2">
              <w:rPr>
                <w:rStyle w:val="Other1"/>
                <w:sz w:val="15"/>
              </w:rPr>
              <w:t>≥</w:t>
            </w:r>
            <w:r>
              <w:rPr>
                <w:rStyle w:val="Other1"/>
                <w:sz w:val="15"/>
              </w:rPr>
              <w:t>v</w:t>
            </w:r>
            <w:r>
              <w:rPr>
                <w:rStyle w:val="Other1"/>
                <w:sz w:val="15"/>
                <w:vertAlign w:val="subscript"/>
              </w:rPr>
              <w:t>2</w:t>
            </w:r>
          </w:p>
        </w:tc>
      </w:tr>
      <w:tr w:rsidR="006F7987">
        <w:trPr>
          <w:trHeight w:hRule="exact" w:val="302"/>
          <w:jc w:val="center"/>
        </w:trPr>
        <w:tc>
          <w:tcPr>
            <w:tcW w:w="1541" w:type="dxa"/>
            <w:tcBorders>
              <w:top w:val="single" w:sz="4" w:space="0" w:color="auto"/>
              <w:left w:val="single" w:sz="4" w:space="0" w:color="auto"/>
              <w:bottom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Dmax Summer</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tcPr>
          <w:p w:rsidR="006F7987" w:rsidRDefault="00766224" w:rsidP="00B043B2">
            <w:pPr>
              <w:pStyle w:val="Other10"/>
              <w:spacing w:line="240" w:lineRule="auto"/>
              <w:ind w:firstLine="460"/>
              <w:rPr>
                <w:sz w:val="15"/>
              </w:rPr>
            </w:pPr>
            <w:r>
              <w:rPr>
                <w:rStyle w:val="Other1"/>
                <w:sz w:val="15"/>
              </w:rPr>
              <w:t>V</w:t>
            </w:r>
            <w:r>
              <w:rPr>
                <w:rStyle w:val="Other1"/>
                <w:sz w:val="15"/>
                <w:vertAlign w:val="subscript"/>
              </w:rPr>
              <w:t>min</w:t>
            </w:r>
            <w:r w:rsidR="00B043B2">
              <w:rPr>
                <w:rStyle w:val="Other1"/>
                <w:sz w:val="15"/>
              </w:rPr>
              <w:t>≥</w:t>
            </w:r>
            <w:r>
              <w:rPr>
                <w:rStyle w:val="Other1"/>
                <w:sz w:val="15"/>
              </w:rPr>
              <w:t>v</w:t>
            </w:r>
            <w:r>
              <w:rPr>
                <w:rStyle w:val="Other1"/>
                <w:sz w:val="15"/>
                <w:vertAlign w:val="subscript"/>
              </w:rPr>
              <w:t>1</w:t>
            </w:r>
          </w:p>
        </w:tc>
      </w:tr>
    </w:tbl>
    <w:p w:rsidR="006F7987" w:rsidRDefault="006F7987">
      <w:pPr>
        <w:spacing w:after="239" w:line="1" w:lineRule="exact"/>
      </w:pPr>
    </w:p>
    <w:p w:rsidR="006F7987" w:rsidRDefault="004725E8">
      <w:pPr>
        <w:pStyle w:val="Heading210"/>
        <w:keepNext/>
        <w:keepLines/>
        <w:jc w:val="both"/>
      </w:pPr>
      <w:bookmarkStart w:id="8" w:name="bookmark17"/>
      <w:r>
        <w:rPr>
          <w:rStyle w:val="Heading21"/>
          <w:b/>
        </w:rPr>
        <w:t>V. Procedure for monitoring the intensity of discharge of untreated wastewater from ships</w:t>
      </w:r>
      <w:bookmarkEnd w:id="8"/>
    </w:p>
    <w:p w:rsidR="006F7987" w:rsidRDefault="004725E8">
      <w:pPr>
        <w:pStyle w:val="Bodytext10"/>
        <w:numPr>
          <w:ilvl w:val="0"/>
          <w:numId w:val="6"/>
        </w:numPr>
        <w:tabs>
          <w:tab w:val="left" w:pos="1020"/>
        </w:tabs>
        <w:ind w:firstLine="700"/>
        <w:jc w:val="both"/>
      </w:pPr>
      <w:r>
        <w:rPr>
          <w:rStyle w:val="Bodytext1"/>
        </w:rPr>
        <w:t>If untreated wastewater is necessary, the crew member responsible for the sewage operation shall be satisfied that the ship is underway and is more than 12 nautical miles from the nearest coast as defined in MARPOL 73/78 Regulation 1(5) of Annex IV (Rules for the Prevention of Wastewater Pollution from Ships) and speed and draught correspond to the approved discharge intensity. The speed of the ship shall in no case be less than 4 knots.</w:t>
      </w:r>
    </w:p>
    <w:p w:rsidR="006F7987" w:rsidRDefault="004725E8">
      <w:pPr>
        <w:pStyle w:val="Bodytext10"/>
        <w:numPr>
          <w:ilvl w:val="0"/>
          <w:numId w:val="6"/>
        </w:numPr>
        <w:tabs>
          <w:tab w:val="left" w:pos="1020"/>
        </w:tabs>
        <w:spacing w:after="240"/>
        <w:ind w:firstLine="700"/>
        <w:jc w:val="both"/>
      </w:pPr>
      <w:r>
        <w:rPr>
          <w:rStyle w:val="Bodytext1"/>
        </w:rPr>
        <w:t>The logbook shall record the actual speed, coordinates and intensity at the beginning and end of the discharge of the raw waste water.</w:t>
      </w:r>
    </w:p>
    <w:p w:rsidR="006F7987" w:rsidRDefault="004725E8">
      <w:pPr>
        <w:pStyle w:val="Heading210"/>
        <w:keepNext/>
        <w:keepLines/>
        <w:spacing w:line="259" w:lineRule="auto"/>
        <w:jc w:val="both"/>
      </w:pPr>
      <w:bookmarkStart w:id="9" w:name="bookmark19"/>
      <w:r>
        <w:rPr>
          <w:rStyle w:val="Heading21"/>
          <w:b/>
        </w:rPr>
        <w:t>VI. Enforcement</w:t>
      </w:r>
      <w:bookmarkEnd w:id="9"/>
    </w:p>
    <w:p w:rsidR="006F7987" w:rsidRDefault="004725E8">
      <w:pPr>
        <w:pStyle w:val="Bodytext10"/>
        <w:numPr>
          <w:ilvl w:val="0"/>
          <w:numId w:val="7"/>
        </w:numPr>
        <w:tabs>
          <w:tab w:val="left" w:pos="1020"/>
        </w:tabs>
        <w:spacing w:line="259" w:lineRule="auto"/>
        <w:ind w:firstLine="700"/>
        <w:jc w:val="both"/>
      </w:pPr>
      <w:r>
        <w:rPr>
          <w:rStyle w:val="Bodytext1"/>
        </w:rPr>
        <w:t>This order shall be brought to the attention of all Bulgarian shipowners of ships falling within the scope of item 1.2.</w:t>
      </w:r>
    </w:p>
    <w:p w:rsidR="006F7987" w:rsidRDefault="004725E8">
      <w:pPr>
        <w:pStyle w:val="Bodytext10"/>
        <w:numPr>
          <w:ilvl w:val="0"/>
          <w:numId w:val="7"/>
        </w:numPr>
        <w:tabs>
          <w:tab w:val="left" w:pos="1020"/>
        </w:tabs>
        <w:spacing w:line="259" w:lineRule="auto"/>
        <w:ind w:firstLine="700"/>
        <w:jc w:val="both"/>
      </w:pPr>
      <w:r>
        <w:rPr>
          <w:rStyle w:val="Bodytext1"/>
        </w:rPr>
        <w:t>The Bulgarian shipowners shall prepare and send copies of this Order to their ships for information and execution by the masters.</w:t>
      </w:r>
    </w:p>
    <w:p w:rsidR="006F7987" w:rsidRDefault="004725E8">
      <w:pPr>
        <w:pStyle w:val="Bodytext10"/>
        <w:numPr>
          <w:ilvl w:val="0"/>
          <w:numId w:val="7"/>
        </w:numPr>
        <w:tabs>
          <w:tab w:val="left" w:pos="1020"/>
        </w:tabs>
        <w:spacing w:line="259" w:lineRule="auto"/>
        <w:ind w:firstLine="700"/>
        <w:jc w:val="both"/>
      </w:pPr>
      <w:r>
        <w:rPr>
          <w:rStyle w:val="Bodytext1"/>
        </w:rPr>
        <w:t>The Directors of the Maritime Administration Directorate organi</w:t>
      </w:r>
      <w:r w:rsidR="00766224">
        <w:rPr>
          <w:rStyle w:val="Bodytext1"/>
        </w:rPr>
        <w:t>z</w:t>
      </w:r>
      <w:r>
        <w:rPr>
          <w:rStyle w:val="Bodytext1"/>
        </w:rPr>
        <w:t>e the familiari</w:t>
      </w:r>
      <w:r w:rsidR="00766224">
        <w:rPr>
          <w:rStyle w:val="Bodytext1"/>
        </w:rPr>
        <w:t>z</w:t>
      </w:r>
      <w:r>
        <w:rPr>
          <w:rStyle w:val="Bodytext1"/>
        </w:rPr>
        <w:t>ation and implementation of the Order by the staff of the departments concerned.</w:t>
      </w:r>
    </w:p>
    <w:p w:rsidR="006F7987" w:rsidRDefault="004725E8">
      <w:pPr>
        <w:pStyle w:val="Bodytext10"/>
        <w:numPr>
          <w:ilvl w:val="0"/>
          <w:numId w:val="7"/>
        </w:numPr>
        <w:tabs>
          <w:tab w:val="left" w:pos="1020"/>
        </w:tabs>
        <w:spacing w:after="360" w:line="259" w:lineRule="auto"/>
        <w:ind w:firstLine="700"/>
        <w:jc w:val="both"/>
        <w:rPr>
          <w:rStyle w:val="Bodytext1"/>
        </w:rPr>
      </w:pPr>
      <w:r>
        <w:rPr>
          <w:rStyle w:val="Bodytext1"/>
        </w:rPr>
        <w:t xml:space="preserve">The order to be published on the website of the </w:t>
      </w:r>
      <w:r w:rsidR="00766224">
        <w:rPr>
          <w:rStyle w:val="Bodytext1"/>
        </w:rPr>
        <w:t xml:space="preserve">Executive Agency </w:t>
      </w:r>
      <w:r>
        <w:rPr>
          <w:rStyle w:val="Bodytext1"/>
        </w:rPr>
        <w:t>Maritime Administration.</w:t>
      </w:r>
    </w:p>
    <w:p w:rsidR="00AA424E" w:rsidRDefault="00AA424E" w:rsidP="00AA424E">
      <w:pPr>
        <w:pStyle w:val="Bodytext10"/>
        <w:tabs>
          <w:tab w:val="left" w:pos="1020"/>
        </w:tabs>
        <w:spacing w:after="360" w:line="259" w:lineRule="auto"/>
        <w:ind w:left="700" w:firstLine="0"/>
        <w:jc w:val="both"/>
      </w:pPr>
    </w:p>
    <w:p w:rsidR="006F7987" w:rsidRDefault="004725E8" w:rsidP="00766224">
      <w:pPr>
        <w:pStyle w:val="Heading210"/>
        <w:keepNext/>
        <w:keepLines/>
        <w:spacing w:line="259" w:lineRule="auto"/>
        <w:jc w:val="both"/>
      </w:pPr>
      <w:bookmarkStart w:id="10" w:name="bookmark21"/>
      <w:r>
        <w:rPr>
          <w:rStyle w:val="Heading21"/>
          <w:b/>
        </w:rPr>
        <w:lastRenderedPageBreak/>
        <w:t>VI</w:t>
      </w:r>
      <w:r w:rsidR="00766224">
        <w:rPr>
          <w:rStyle w:val="Heading21"/>
          <w:b/>
        </w:rPr>
        <w:t>I. Fees</w:t>
      </w:r>
      <w:r w:rsidR="00D10527">
        <w:rPr>
          <w:rStyle w:val="Heading21"/>
          <w:b/>
        </w:rPr>
        <w:t xml:space="preserve"> </w:t>
      </w:r>
      <w:r>
        <w:rPr>
          <w:rStyle w:val="Heading21"/>
          <w:b/>
        </w:rPr>
        <w:t xml:space="preserve">to determine the intensity of discharge of </w:t>
      </w:r>
      <w:r w:rsidR="00AA424E">
        <w:rPr>
          <w:rStyle w:val="Heading21"/>
          <w:b/>
        </w:rPr>
        <w:t xml:space="preserve">untreated wastewater </w:t>
      </w:r>
      <w:r>
        <w:rPr>
          <w:rStyle w:val="Heading21"/>
          <w:b/>
        </w:rPr>
        <w:t>from ships.</w:t>
      </w:r>
      <w:bookmarkEnd w:id="10"/>
    </w:p>
    <w:p w:rsidR="006F7987" w:rsidRDefault="004725E8" w:rsidP="00AA424E">
      <w:pPr>
        <w:pStyle w:val="Bodytext10"/>
        <w:spacing w:after="180" w:line="259" w:lineRule="auto"/>
        <w:ind w:firstLine="700"/>
        <w:jc w:val="both"/>
      </w:pPr>
      <w:r>
        <w:rPr>
          <w:rStyle w:val="Bodytext1"/>
        </w:rPr>
        <w:t xml:space="preserve">1. For inspection, calculation, approval and issuance of a document “Explorations of the intensity of discharge of </w:t>
      </w:r>
      <w:r w:rsidR="00AA424E" w:rsidRPr="00AA424E">
        <w:rPr>
          <w:rStyle w:val="Bodytext1"/>
        </w:rPr>
        <w:t>untreated</w:t>
      </w:r>
      <w:r>
        <w:rPr>
          <w:rStyle w:val="Bodytext1"/>
        </w:rPr>
        <w:t xml:space="preserve"> waste water from ships” by D</w:t>
      </w:r>
      <w:r w:rsidR="00AA424E">
        <w:rPr>
          <w:rStyle w:val="Bodytext1"/>
        </w:rPr>
        <w:t xml:space="preserve">MA </w:t>
      </w:r>
      <w:r>
        <w:rPr>
          <w:rStyle w:val="Bodytext1"/>
        </w:rPr>
        <w:t>Varna/Burgas shall be charged in accordance with Tariff No 5 for the fees collected in the system of the Ministry of Transport and Communications.</w:t>
      </w:r>
    </w:p>
    <w:p w:rsidR="006F7987" w:rsidRDefault="004725E8">
      <w:pPr>
        <w:pStyle w:val="Heading210"/>
        <w:keepNext/>
        <w:keepLines/>
        <w:numPr>
          <w:ilvl w:val="0"/>
          <w:numId w:val="8"/>
        </w:numPr>
        <w:tabs>
          <w:tab w:val="left" w:pos="1395"/>
        </w:tabs>
        <w:ind w:firstLine="720"/>
      </w:pPr>
      <w:bookmarkStart w:id="11" w:name="bookmark23"/>
      <w:r>
        <w:rPr>
          <w:rStyle w:val="Heading21"/>
          <w:b/>
        </w:rPr>
        <w:t>Entry into force</w:t>
      </w:r>
      <w:bookmarkEnd w:id="11"/>
    </w:p>
    <w:p w:rsidR="006F7987" w:rsidRDefault="004725E8">
      <w:pPr>
        <w:pStyle w:val="Bodytext10"/>
        <w:spacing w:after="260" w:line="252" w:lineRule="auto"/>
        <w:ind w:firstLine="720"/>
      </w:pPr>
      <w:r>
        <w:rPr>
          <w:rStyle w:val="Bodytext1"/>
        </w:rPr>
        <w:t>This Order shall enter into force on 27 September 2008.</w:t>
      </w:r>
    </w:p>
    <w:p w:rsidR="006F7987" w:rsidRDefault="004725E8">
      <w:pPr>
        <w:pStyle w:val="Heading210"/>
        <w:keepNext/>
        <w:keepLines/>
        <w:numPr>
          <w:ilvl w:val="0"/>
          <w:numId w:val="8"/>
        </w:numPr>
        <w:tabs>
          <w:tab w:val="left" w:pos="1267"/>
        </w:tabs>
        <w:ind w:firstLine="720"/>
      </w:pPr>
      <w:bookmarkStart w:id="12" w:name="bookmark25"/>
      <w:r>
        <w:rPr>
          <w:rStyle w:val="Heading21"/>
          <w:b/>
        </w:rPr>
        <w:t>Control</w:t>
      </w:r>
      <w:bookmarkEnd w:id="12"/>
    </w:p>
    <w:p w:rsidR="006F7987" w:rsidRDefault="004725E8">
      <w:pPr>
        <w:pStyle w:val="Bodytext10"/>
        <w:spacing w:after="860" w:line="252" w:lineRule="auto"/>
        <w:ind w:firstLine="720"/>
      </w:pPr>
      <w:r>
        <w:rPr>
          <w:rStyle w:val="Bodytext1"/>
        </w:rPr>
        <w:t xml:space="preserve">I entrust Mr Petar Kirov, Deputy Executive Director of the </w:t>
      </w:r>
      <w:r w:rsidR="00AA424E">
        <w:rPr>
          <w:rStyle w:val="Bodytext1"/>
        </w:rPr>
        <w:t>EAMA</w:t>
      </w:r>
      <w:r>
        <w:rPr>
          <w:rStyle w:val="Bodytext1"/>
        </w:rPr>
        <w:t xml:space="preserve"> with the monitoring of th</w:t>
      </w:r>
      <w:r w:rsidR="003C275C">
        <w:rPr>
          <w:rStyle w:val="Bodytext1"/>
        </w:rPr>
        <w:t>e implementation of this Order.</w:t>
      </w:r>
    </w:p>
    <w:p w:rsidR="006F7987" w:rsidRDefault="006F7987">
      <w:pPr>
        <w:rPr>
          <w:sz w:val="2"/>
        </w:rPr>
      </w:pPr>
    </w:p>
    <w:p w:rsidR="00AA424E" w:rsidRPr="00AA424E" w:rsidRDefault="00AA424E" w:rsidP="00AA424E">
      <w:pPr>
        <w:pStyle w:val="Bodytext10"/>
        <w:ind w:firstLine="0"/>
        <w:rPr>
          <w:rStyle w:val="Bodytext1"/>
          <w:b/>
        </w:rPr>
      </w:pPr>
      <w:r w:rsidRPr="00AA424E">
        <w:rPr>
          <w:rStyle w:val="Bodytext1"/>
          <w:b/>
        </w:rPr>
        <w:t xml:space="preserve">KDP. NIKOLAY APOSTOLOV, </w:t>
      </w:r>
    </w:p>
    <w:p w:rsidR="00AA424E" w:rsidRDefault="004725E8" w:rsidP="00AA424E">
      <w:pPr>
        <w:pStyle w:val="Bodytext10"/>
        <w:ind w:firstLine="0"/>
        <w:rPr>
          <w:rStyle w:val="Bodytext1"/>
        </w:rPr>
      </w:pPr>
      <w:r>
        <w:rPr>
          <w:rStyle w:val="Bodytext1"/>
        </w:rPr>
        <w:t xml:space="preserve">Executive Director </w:t>
      </w:r>
    </w:p>
    <w:p w:rsidR="006F7987" w:rsidRDefault="007F23B7">
      <w:pPr>
        <w:pStyle w:val="Bodytext10"/>
        <w:spacing w:after="1000"/>
        <w:ind w:firstLine="0"/>
        <w:rPr>
          <w:rStyle w:val="Bodytext1"/>
        </w:rPr>
      </w:pPr>
      <w:r w:rsidRPr="007F23B7">
        <w:rPr>
          <w:rStyle w:val="Bodytext1"/>
        </w:rPr>
        <w:t>Executive Agency “Maritime Administration”</w:t>
      </w:r>
    </w:p>
    <w:p w:rsidR="007F23B7" w:rsidRDefault="007F23B7">
      <w:pPr>
        <w:rPr>
          <w:rStyle w:val="Bodytext1"/>
        </w:rPr>
      </w:pPr>
      <w:r>
        <w:rPr>
          <w:rStyle w:val="Bodytext1"/>
        </w:rPr>
        <w:br w:type="page"/>
      </w:r>
    </w:p>
    <w:p w:rsidR="007F23B7" w:rsidRDefault="007F23B7">
      <w:pPr>
        <w:pStyle w:val="Bodytext10"/>
        <w:spacing w:after="1000"/>
        <w:ind w:firstLine="0"/>
      </w:pPr>
      <w:bookmarkStart w:id="13" w:name="_GoBack"/>
      <w:bookmarkEnd w:id="13"/>
    </w:p>
    <w:p w:rsidR="006F7987" w:rsidRDefault="004725E8">
      <w:pPr>
        <w:pStyle w:val="Bodytext20"/>
        <w:spacing w:after="800"/>
        <w:ind w:left="0" w:right="560"/>
        <w:jc w:val="right"/>
        <w:rPr>
          <w:sz w:val="20"/>
        </w:rPr>
      </w:pPr>
      <w:r>
        <w:rPr>
          <w:rStyle w:val="Bodytext2"/>
          <w:i/>
          <w:sz w:val="20"/>
        </w:rPr>
        <w:t>Annex to m.IV.3</w:t>
      </w:r>
    </w:p>
    <w:p w:rsidR="006F7987" w:rsidRDefault="004725E8">
      <w:pPr>
        <w:pStyle w:val="Bodytext20"/>
        <w:spacing w:after="560"/>
        <w:ind w:left="0"/>
        <w:rPr>
          <w:sz w:val="20"/>
        </w:rPr>
      </w:pPr>
      <w:r>
        <w:rPr>
          <w:rStyle w:val="Bodytext2"/>
          <w:i/>
          <w:sz w:val="20"/>
        </w:rPr>
        <w:t>/Approved/</w:t>
      </w:r>
    </w:p>
    <w:p w:rsidR="00AA424E" w:rsidRDefault="00AA424E" w:rsidP="00AA424E">
      <w:pPr>
        <w:pStyle w:val="Bodytext20"/>
        <w:spacing w:after="0" w:line="557" w:lineRule="auto"/>
        <w:ind w:left="459" w:hanging="181"/>
        <w:rPr>
          <w:rStyle w:val="Bodytext2"/>
          <w:i/>
          <w:sz w:val="20"/>
        </w:rPr>
      </w:pPr>
      <w:r>
        <w:rPr>
          <w:rStyle w:val="Bodytext2"/>
          <w:i/>
          <w:sz w:val="20"/>
        </w:rPr>
        <w:t>/sign</w:t>
      </w:r>
      <w:r w:rsidR="003C275C">
        <w:rPr>
          <w:rStyle w:val="Bodytext2"/>
          <w:i/>
          <w:sz w:val="20"/>
        </w:rPr>
        <w:t>i</w:t>
      </w:r>
      <w:r>
        <w:rPr>
          <w:rStyle w:val="Bodytext2"/>
          <w:i/>
          <w:sz w:val="20"/>
        </w:rPr>
        <w:t>ture/</w:t>
      </w:r>
    </w:p>
    <w:p w:rsidR="006F7987" w:rsidRDefault="00AA424E" w:rsidP="00AA424E">
      <w:pPr>
        <w:pStyle w:val="Bodytext20"/>
        <w:spacing w:after="0" w:line="557" w:lineRule="auto"/>
        <w:ind w:left="459" w:hanging="181"/>
      </w:pPr>
      <w:r>
        <w:rPr>
          <w:rStyle w:val="Bodytext2"/>
          <w:i/>
          <w:sz w:val="20"/>
        </w:rPr>
        <w:t>/name</w:t>
      </w:r>
      <w:r w:rsidR="004725E8">
        <w:rPr>
          <w:rStyle w:val="Bodytext2"/>
          <w:i/>
          <w:sz w:val="20"/>
        </w:rPr>
        <w:t>/</w:t>
      </w:r>
    </w:p>
    <w:p w:rsidR="006F7987" w:rsidRDefault="004725E8" w:rsidP="00AA424E">
      <w:pPr>
        <w:pStyle w:val="Bodytext30"/>
        <w:spacing w:after="0"/>
        <w:ind w:left="-426" w:right="-692"/>
        <w:rPr>
          <w:rStyle w:val="Bodytext3"/>
          <w:b/>
          <w:i/>
        </w:rPr>
      </w:pPr>
      <w:r>
        <w:rPr>
          <w:rStyle w:val="Bodytext3"/>
          <w:b/>
          <w:i/>
        </w:rPr>
        <w:t>Calculation of the discharge rate of untreated se</w:t>
      </w:r>
      <w:r w:rsidR="00AA424E">
        <w:rPr>
          <w:rStyle w:val="Bodytext3"/>
          <w:b/>
          <w:i/>
        </w:rPr>
        <w:t>ww</w:t>
      </w:r>
      <w:r>
        <w:rPr>
          <w:rStyle w:val="Bodytext3"/>
          <w:b/>
          <w:i/>
        </w:rPr>
        <w:t>age</w:t>
      </w:r>
      <w:r>
        <w:rPr>
          <w:rStyle w:val="Bodytext3"/>
          <w:b/>
          <w:i/>
        </w:rPr>
        <w:br/>
        <w:t>for</w:t>
      </w:r>
      <w:r w:rsidR="00AA424E">
        <w:rPr>
          <w:rStyle w:val="Bodytext3"/>
          <w:b/>
          <w:i/>
        </w:rPr>
        <w:t xml:space="preserve"> </w:t>
      </w:r>
      <w:r>
        <w:rPr>
          <w:rStyle w:val="Bodytext3"/>
          <w:b/>
          <w:i/>
        </w:rPr>
        <w:t>m/v"”</w:t>
      </w:r>
    </w:p>
    <w:p w:rsidR="00AA424E" w:rsidRDefault="00AA424E" w:rsidP="00AA424E">
      <w:pPr>
        <w:pStyle w:val="Bodytext30"/>
        <w:spacing w:after="0"/>
      </w:pPr>
    </w:p>
    <w:p w:rsidR="006F7987" w:rsidRDefault="004725E8" w:rsidP="00AA424E">
      <w:pPr>
        <w:pStyle w:val="Bodytext10"/>
        <w:tabs>
          <w:tab w:val="left" w:leader="dot" w:pos="1123"/>
        </w:tabs>
        <w:spacing w:line="259" w:lineRule="auto"/>
        <w:ind w:firstLine="0"/>
      </w:pPr>
      <w:r>
        <w:rPr>
          <w:rStyle w:val="Bodytext1"/>
        </w:rPr>
        <w:t xml:space="preserve">Directorate Maritime Administration — </w:t>
      </w:r>
      <w:r>
        <w:rPr>
          <w:rStyle w:val="Bodytext1"/>
        </w:rPr>
        <w:tab/>
        <w:t xml:space="preserve"> 2008</w:t>
      </w:r>
    </w:p>
    <w:p w:rsidR="006F7987" w:rsidRDefault="004725E8" w:rsidP="00AA424E">
      <w:pPr>
        <w:pStyle w:val="Bodytext10"/>
        <w:spacing w:line="233" w:lineRule="auto"/>
        <w:ind w:firstLine="0"/>
        <w:rPr>
          <w:rStyle w:val="Bodytext1"/>
          <w:i/>
        </w:rPr>
      </w:pPr>
      <w:r>
        <w:rPr>
          <w:rStyle w:val="Bodytext1"/>
          <w:i/>
        </w:rPr>
        <w:t>Particulars of Ship</w:t>
      </w:r>
    </w:p>
    <w:p w:rsidR="003C275C" w:rsidRDefault="003C275C" w:rsidP="00AA424E">
      <w:pPr>
        <w:pStyle w:val="Bodytext10"/>
        <w:spacing w:line="233" w:lineRule="auto"/>
        <w:ind w:firstLine="0"/>
      </w:pPr>
    </w:p>
    <w:p w:rsidR="006F7987" w:rsidRDefault="004725E8" w:rsidP="00AA424E">
      <w:pPr>
        <w:pStyle w:val="Bodytext10"/>
        <w:ind w:firstLine="0"/>
        <w:rPr>
          <w:sz w:val="20"/>
        </w:rPr>
      </w:pPr>
      <w:r>
        <w:rPr>
          <w:rStyle w:val="Bodytext1"/>
          <w:i/>
          <w:sz w:val="20"/>
        </w:rPr>
        <w:t>D</w:t>
      </w:r>
      <w:r w:rsidR="00AA424E">
        <w:rPr>
          <w:rStyle w:val="Bodytext1"/>
          <w:i/>
          <w:sz w:val="20"/>
        </w:rPr>
        <w:t>istinctive number/IMO number</w:t>
      </w:r>
    </w:p>
    <w:p w:rsidR="006F7987" w:rsidRDefault="004725E8" w:rsidP="00AA424E">
      <w:pPr>
        <w:pStyle w:val="Bodytext10"/>
        <w:tabs>
          <w:tab w:val="left" w:pos="3482"/>
          <w:tab w:val="left" w:leader="dot" w:pos="9099"/>
        </w:tabs>
        <w:spacing w:line="233" w:lineRule="auto"/>
        <w:ind w:firstLine="0"/>
        <w:jc w:val="both"/>
      </w:pPr>
      <w:r>
        <w:rPr>
          <w:rStyle w:val="Bodytext1"/>
        </w:rPr>
        <w:tab/>
      </w:r>
      <w:r>
        <w:rPr>
          <w:rStyle w:val="Bodytext1"/>
        </w:rPr>
        <w:tab/>
      </w:r>
    </w:p>
    <w:p w:rsidR="006F7987" w:rsidRDefault="00AA424E" w:rsidP="00AA424E">
      <w:pPr>
        <w:pStyle w:val="Bodytext10"/>
        <w:ind w:firstLine="0"/>
        <w:rPr>
          <w:sz w:val="20"/>
        </w:rPr>
      </w:pPr>
      <w:r>
        <w:rPr>
          <w:rStyle w:val="Bodytext1"/>
          <w:i/>
          <w:sz w:val="20"/>
        </w:rPr>
        <w:t>Shipowner/Operator</w:t>
      </w:r>
    </w:p>
    <w:p w:rsidR="006F7987" w:rsidRDefault="004725E8" w:rsidP="00AA424E">
      <w:pPr>
        <w:pStyle w:val="Bodytext10"/>
        <w:tabs>
          <w:tab w:val="left" w:pos="3482"/>
          <w:tab w:val="left" w:leader="dot" w:pos="9099"/>
        </w:tabs>
        <w:spacing w:line="233" w:lineRule="auto"/>
        <w:ind w:firstLine="0"/>
      </w:pPr>
      <w:r>
        <w:rPr>
          <w:rStyle w:val="Bodytext1"/>
        </w:rPr>
        <w:tab/>
      </w:r>
      <w:r>
        <w:rPr>
          <w:rStyle w:val="Bodytext1"/>
        </w:rPr>
        <w:tab/>
      </w:r>
    </w:p>
    <w:p w:rsidR="006F7987" w:rsidRDefault="004725E8" w:rsidP="00AA424E">
      <w:pPr>
        <w:pStyle w:val="Bodytext10"/>
        <w:ind w:firstLine="0"/>
        <w:rPr>
          <w:sz w:val="20"/>
        </w:rPr>
      </w:pPr>
      <w:r>
        <w:rPr>
          <w:rStyle w:val="Bodytext1"/>
          <w:i/>
          <w:sz w:val="20"/>
        </w:rPr>
        <w:t>First Ship in Series</w:t>
      </w:r>
    </w:p>
    <w:p w:rsidR="006F7987" w:rsidRDefault="004725E8" w:rsidP="00AA424E">
      <w:pPr>
        <w:pStyle w:val="Bodytext10"/>
        <w:tabs>
          <w:tab w:val="left" w:leader="dot" w:pos="9099"/>
        </w:tabs>
        <w:spacing w:line="233" w:lineRule="auto"/>
        <w:ind w:firstLine="0"/>
        <w:jc w:val="both"/>
      </w:pPr>
      <w:r>
        <w:rPr>
          <w:rStyle w:val="Bodytext1"/>
        </w:rPr>
        <w:tab/>
      </w:r>
    </w:p>
    <w:p w:rsidR="006F7987" w:rsidRDefault="00AA424E" w:rsidP="00AA424E">
      <w:pPr>
        <w:pStyle w:val="Bodytext10"/>
        <w:ind w:firstLine="0"/>
        <w:rPr>
          <w:sz w:val="20"/>
        </w:rPr>
      </w:pPr>
      <w:r>
        <w:rPr>
          <w:rStyle w:val="Bodytext1"/>
          <w:i/>
          <w:sz w:val="20"/>
        </w:rPr>
        <w:t>Maximum Speed, knots</w:t>
      </w:r>
    </w:p>
    <w:p w:rsidR="006F7987" w:rsidRDefault="004725E8" w:rsidP="00AA424E">
      <w:pPr>
        <w:pStyle w:val="Bodytext10"/>
        <w:tabs>
          <w:tab w:val="left" w:pos="4342"/>
          <w:tab w:val="left" w:leader="dot" w:pos="9099"/>
        </w:tabs>
        <w:spacing w:line="233" w:lineRule="auto"/>
        <w:ind w:firstLine="0"/>
      </w:pPr>
      <w:r>
        <w:rPr>
          <w:rStyle w:val="Bodytext1"/>
        </w:rPr>
        <w:tab/>
      </w:r>
    </w:p>
    <w:p w:rsidR="006F7987" w:rsidRDefault="004725E8" w:rsidP="00AA424E">
      <w:pPr>
        <w:pStyle w:val="Bodytext10"/>
        <w:ind w:firstLine="0"/>
        <w:rPr>
          <w:sz w:val="20"/>
        </w:rPr>
      </w:pPr>
      <w:r>
        <w:rPr>
          <w:rStyle w:val="Bodytext1"/>
          <w:i/>
          <w:sz w:val="20"/>
        </w:rPr>
        <w:t>Maximum load Draught, p.</w:t>
      </w:r>
    </w:p>
    <w:p w:rsidR="006F7987" w:rsidRDefault="004725E8" w:rsidP="00AA424E">
      <w:pPr>
        <w:pStyle w:val="Bodytext10"/>
        <w:tabs>
          <w:tab w:val="left" w:leader="dot" w:pos="9099"/>
        </w:tabs>
        <w:spacing w:line="240" w:lineRule="auto"/>
        <w:ind w:firstLine="0"/>
        <w:jc w:val="both"/>
        <w:rPr>
          <w:sz w:val="20"/>
        </w:rPr>
      </w:pPr>
      <w:r>
        <w:rPr>
          <w:rStyle w:val="Bodytext1"/>
        </w:rPr>
        <w:tab/>
        <w:t xml:space="preserve"> </w:t>
      </w:r>
      <w:r>
        <w:rPr>
          <w:rStyle w:val="Bodytext1"/>
          <w:i/>
          <w:sz w:val="20"/>
        </w:rPr>
        <w:t>Draught for minimum practicable ship’s loading condition, m/</w:t>
      </w:r>
    </w:p>
    <w:p w:rsidR="006F7987" w:rsidRDefault="006F7987" w:rsidP="00AA424E">
      <w:pPr>
        <w:pStyle w:val="Bodytext10"/>
        <w:tabs>
          <w:tab w:val="left" w:pos="3482"/>
          <w:tab w:val="left" w:leader="dot" w:pos="9099"/>
        </w:tabs>
        <w:spacing w:line="233" w:lineRule="auto"/>
        <w:ind w:firstLine="0"/>
        <w:jc w:val="both"/>
      </w:pPr>
    </w:p>
    <w:p w:rsidR="006F7987" w:rsidRDefault="004725E8" w:rsidP="00AA424E">
      <w:pPr>
        <w:pStyle w:val="Bodytext10"/>
        <w:ind w:firstLine="0"/>
        <w:rPr>
          <w:sz w:val="20"/>
        </w:rPr>
      </w:pPr>
      <w:r>
        <w:rPr>
          <w:rStyle w:val="Bodytext1"/>
          <w:i/>
          <w:sz w:val="20"/>
        </w:rPr>
        <w:t>Breadth, p.</w:t>
      </w:r>
    </w:p>
    <w:p w:rsidR="006F7987" w:rsidRDefault="004725E8" w:rsidP="00AA424E">
      <w:pPr>
        <w:pStyle w:val="Bodytext10"/>
        <w:tabs>
          <w:tab w:val="left" w:leader="dot" w:pos="9099"/>
          <w:tab w:val="left" w:leader="dot" w:pos="9286"/>
        </w:tabs>
        <w:spacing w:line="233" w:lineRule="auto"/>
        <w:ind w:firstLine="0"/>
      </w:pPr>
      <w:r>
        <w:rPr>
          <w:rStyle w:val="Bodytext1"/>
        </w:rPr>
        <w:tab/>
      </w:r>
      <w:r>
        <w:rPr>
          <w:rStyle w:val="Bodytext1"/>
        </w:rPr>
        <w:tab/>
      </w:r>
    </w:p>
    <w:p w:rsidR="006F7987" w:rsidRDefault="004725E8" w:rsidP="00AA424E">
      <w:pPr>
        <w:pStyle w:val="Bodytext10"/>
        <w:ind w:firstLine="0"/>
        <w:rPr>
          <w:sz w:val="20"/>
        </w:rPr>
        <w:sectPr w:rsidR="006F7987">
          <w:footerReference w:type="default" r:id="rId7"/>
          <w:footerReference w:type="first" r:id="rId8"/>
          <w:pgSz w:w="11900" w:h="16840"/>
          <w:pgMar w:top="3437" w:right="1386" w:bottom="3664" w:left="1283" w:header="0" w:footer="3" w:gutter="0"/>
          <w:cols w:space="720"/>
          <w:noEndnote/>
          <w:docGrid w:linePitch="360"/>
        </w:sectPr>
      </w:pPr>
      <w:r>
        <w:rPr>
          <w:rStyle w:val="Bodytext1"/>
          <w:i/>
          <w:sz w:val="20"/>
        </w:rPr>
        <w:t>Pump Flow, m</w:t>
      </w:r>
      <w:r>
        <w:rPr>
          <w:rStyle w:val="Bodytext1"/>
          <w:i/>
          <w:sz w:val="20"/>
          <w:vertAlign w:val="superscript"/>
        </w:rPr>
        <w:t>3</w:t>
      </w:r>
      <w:r>
        <w:rPr>
          <w:rStyle w:val="Bodytext1"/>
          <w:i/>
          <w:sz w:val="20"/>
        </w:rPr>
        <w:t>/h/</w:t>
      </w:r>
    </w:p>
    <w:p w:rsidR="006F7987" w:rsidRPr="00AA424E" w:rsidRDefault="004725E8">
      <w:pPr>
        <w:pStyle w:val="Heading110"/>
        <w:keepNext/>
        <w:keepLines/>
        <w:spacing w:after="100"/>
        <w:rPr>
          <w:b w:val="0"/>
          <w:sz w:val="24"/>
          <w:szCs w:val="24"/>
        </w:rPr>
      </w:pPr>
      <w:bookmarkStart w:id="14" w:name="bookmark29"/>
      <w:r w:rsidRPr="00AA424E">
        <w:rPr>
          <w:rStyle w:val="Heading11"/>
          <w:b/>
          <w:sz w:val="24"/>
          <w:szCs w:val="24"/>
        </w:rPr>
        <w:lastRenderedPageBreak/>
        <w:t xml:space="preserve">Calculation of </w:t>
      </w:r>
      <w:r w:rsidRPr="00AA424E">
        <w:rPr>
          <w:rStyle w:val="Heading11"/>
          <w:b/>
          <w:i/>
          <w:sz w:val="24"/>
          <w:szCs w:val="24"/>
        </w:rPr>
        <w:t>discharge rate.</w:t>
      </w:r>
      <w:bookmarkEnd w:id="14"/>
    </w:p>
    <w:p w:rsidR="006F7987" w:rsidRDefault="004725E8">
      <w:pPr>
        <w:pStyle w:val="Bodytext10"/>
        <w:numPr>
          <w:ilvl w:val="0"/>
          <w:numId w:val="9"/>
        </w:numPr>
        <w:tabs>
          <w:tab w:val="left" w:pos="272"/>
        </w:tabs>
        <w:spacing w:after="100" w:line="240" w:lineRule="auto"/>
        <w:ind w:firstLine="0"/>
        <w:rPr>
          <w:sz w:val="20"/>
        </w:rPr>
      </w:pPr>
      <w:r>
        <w:rPr>
          <w:rStyle w:val="Bodytext1"/>
        </w:rPr>
        <w:t xml:space="preserve">.The </w:t>
      </w:r>
      <w:r>
        <w:rPr>
          <w:rStyle w:val="Bodytext1"/>
          <w:i/>
          <w:sz w:val="20"/>
        </w:rPr>
        <w:t>maximum permissible discharge rate as follows:</w:t>
      </w:r>
    </w:p>
    <w:p w:rsidR="006F7987" w:rsidRDefault="004725E8">
      <w:pPr>
        <w:pStyle w:val="Bodytext10"/>
        <w:spacing w:line="233" w:lineRule="auto"/>
        <w:ind w:firstLine="800"/>
        <w:rPr>
          <w:sz w:val="20"/>
        </w:rPr>
      </w:pPr>
      <w:r>
        <w:rPr>
          <w:rStyle w:val="Bodytext1"/>
          <w:b/>
        </w:rPr>
        <w:t xml:space="preserve">DRmax = 0.00926 V d B, </w:t>
      </w:r>
      <w:r>
        <w:rPr>
          <w:rStyle w:val="Bodytext1"/>
        </w:rPr>
        <w:t>m</w:t>
      </w:r>
      <w:r>
        <w:rPr>
          <w:rStyle w:val="Bodytext1"/>
          <w:vertAlign w:val="superscript"/>
        </w:rPr>
        <w:t>3/h</w:t>
      </w:r>
      <w:r>
        <w:rPr>
          <w:rStyle w:val="Bodytext1"/>
        </w:rPr>
        <w:t xml:space="preserve">/ </w:t>
      </w:r>
      <w:r>
        <w:rPr>
          <w:rStyle w:val="Bodytext1"/>
          <w:i/>
          <w:sz w:val="20"/>
        </w:rPr>
        <w:t>m</w:t>
      </w:r>
      <w:r>
        <w:rPr>
          <w:rStyle w:val="Bodytext1"/>
          <w:i/>
          <w:sz w:val="20"/>
          <w:vertAlign w:val="superscript"/>
        </w:rPr>
        <w:t>3</w:t>
      </w:r>
      <w:r>
        <w:rPr>
          <w:rStyle w:val="Bodytext1"/>
          <w:i/>
          <w:sz w:val="20"/>
        </w:rPr>
        <w:t>/h where</w:t>
      </w:r>
      <w:r>
        <w:rPr>
          <w:rStyle w:val="Bodytext1"/>
        </w:rPr>
        <w:t xml:space="preserve"> / </w:t>
      </w:r>
      <w:r>
        <w:rPr>
          <w:rStyle w:val="Bodytext1"/>
          <w:i/>
          <w:sz w:val="20"/>
        </w:rPr>
        <w:t>where</w:t>
      </w:r>
    </w:p>
    <w:p w:rsidR="006F7987" w:rsidRDefault="00AA424E" w:rsidP="00AA424E">
      <w:pPr>
        <w:pStyle w:val="Bodytext10"/>
        <w:spacing w:line="233" w:lineRule="auto"/>
        <w:ind w:firstLine="0"/>
        <w:rPr>
          <w:sz w:val="20"/>
        </w:rPr>
      </w:pPr>
      <w:r>
        <w:rPr>
          <w:rStyle w:val="Bodytext1"/>
          <w:i/>
          <w:sz w:val="20"/>
        </w:rPr>
        <w:t>V</w:t>
      </w:r>
      <w:r w:rsidR="004725E8">
        <w:rPr>
          <w:rStyle w:val="Bodytext1"/>
          <w:i/>
          <w:sz w:val="20"/>
        </w:rPr>
        <w:t xml:space="preserve"> —</w:t>
      </w:r>
      <w:r w:rsidR="004725E8">
        <w:rPr>
          <w:rStyle w:val="Bodytext1"/>
        </w:rPr>
        <w:t xml:space="preserve"> </w:t>
      </w:r>
      <w:r w:rsidR="004725E8">
        <w:rPr>
          <w:rStyle w:val="Bodytext1"/>
          <w:i/>
          <w:sz w:val="20"/>
        </w:rPr>
        <w:t>ship’s speed (knots) over the period of discharge;</w:t>
      </w:r>
    </w:p>
    <w:p w:rsidR="006F7987" w:rsidRDefault="004725E8">
      <w:pPr>
        <w:pStyle w:val="Bodytext10"/>
        <w:spacing w:line="233" w:lineRule="auto"/>
        <w:ind w:firstLine="0"/>
        <w:rPr>
          <w:sz w:val="20"/>
        </w:rPr>
      </w:pPr>
      <w:r>
        <w:rPr>
          <w:rStyle w:val="Bodytext1"/>
        </w:rPr>
        <w:t>D —</w:t>
      </w:r>
      <w:r w:rsidR="00AA424E">
        <w:rPr>
          <w:rStyle w:val="Bodytext1"/>
          <w:i/>
        </w:rPr>
        <w:t>dr</w:t>
      </w:r>
      <w:r w:rsidRPr="00AA424E">
        <w:rPr>
          <w:rStyle w:val="Bodytext1"/>
          <w:i/>
        </w:rPr>
        <w:t xml:space="preserve">aught </w:t>
      </w:r>
      <w:r w:rsidRPr="00AA424E">
        <w:rPr>
          <w:rStyle w:val="Bodytext1"/>
          <w:i/>
          <w:sz w:val="20"/>
        </w:rPr>
        <w:t>(s);</w:t>
      </w:r>
    </w:p>
    <w:p w:rsidR="006F7987" w:rsidRDefault="00AA424E">
      <w:pPr>
        <w:pStyle w:val="Bodytext10"/>
        <w:spacing w:after="100" w:line="233" w:lineRule="auto"/>
        <w:ind w:firstLine="0"/>
        <w:rPr>
          <w:sz w:val="20"/>
        </w:rPr>
      </w:pPr>
      <w:r>
        <w:rPr>
          <w:rStyle w:val="Bodytext1"/>
        </w:rPr>
        <w:t>B</w:t>
      </w:r>
      <w:r w:rsidR="004725E8">
        <w:rPr>
          <w:rStyle w:val="Bodytext1"/>
        </w:rPr>
        <w:t xml:space="preserve"> —</w:t>
      </w:r>
      <w:r w:rsidR="004725E8">
        <w:rPr>
          <w:rStyle w:val="Bodytext1"/>
          <w:i/>
          <w:sz w:val="20"/>
        </w:rPr>
        <w:t>breadth(s).</w:t>
      </w:r>
    </w:p>
    <w:p w:rsidR="006F7987" w:rsidRDefault="004725E8">
      <w:pPr>
        <w:pStyle w:val="Bodytext10"/>
        <w:numPr>
          <w:ilvl w:val="0"/>
          <w:numId w:val="9"/>
        </w:numPr>
        <w:tabs>
          <w:tab w:val="left" w:pos="294"/>
        </w:tabs>
        <w:spacing w:line="233" w:lineRule="auto"/>
        <w:ind w:firstLine="0"/>
        <w:rPr>
          <w:sz w:val="20"/>
        </w:rPr>
      </w:pPr>
      <w:r>
        <w:rPr>
          <w:rStyle w:val="Bodytext1"/>
        </w:rPr>
        <w:t xml:space="preserve">.Results of </w:t>
      </w:r>
      <w:r>
        <w:rPr>
          <w:rStyle w:val="Bodytext1"/>
          <w:i/>
          <w:sz w:val="20"/>
        </w:rPr>
        <w:t>Calculation results:</w:t>
      </w:r>
    </w:p>
    <w:p w:rsidR="006F7987" w:rsidRDefault="004725E8">
      <w:pPr>
        <w:pStyle w:val="Bodytext10"/>
        <w:ind w:firstLine="0"/>
        <w:rPr>
          <w:sz w:val="20"/>
        </w:rPr>
      </w:pPr>
      <w:r>
        <w:rPr>
          <w:rStyle w:val="Bodytext1"/>
          <w:i/>
          <w:sz w:val="20"/>
        </w:rPr>
        <w:t>note. The results of the estimates can be found in the table below.</w:t>
      </w:r>
    </w:p>
    <w:p w:rsidR="006F7987" w:rsidRDefault="004725E8">
      <w:pPr>
        <w:pStyle w:val="Bodytext10"/>
        <w:tabs>
          <w:tab w:val="left" w:leader="underscore" w:pos="353"/>
          <w:tab w:val="left" w:pos="698"/>
          <w:tab w:val="left" w:leader="underscore" w:pos="2736"/>
          <w:tab w:val="left" w:leader="underscore" w:pos="4896"/>
          <w:tab w:val="left" w:leader="underscore" w:pos="6955"/>
        </w:tabs>
        <w:spacing w:line="233" w:lineRule="auto"/>
        <w:ind w:firstLine="0"/>
        <w:jc w:val="both"/>
        <w:rPr>
          <w:sz w:val="20"/>
        </w:rPr>
      </w:pPr>
      <w:r>
        <w:rPr>
          <w:rStyle w:val="Bodytext1"/>
        </w:rPr>
        <w:t xml:space="preserve">Table </w:t>
      </w:r>
      <w:r>
        <w:rPr>
          <w:rStyle w:val="Bodytext1"/>
          <w:i/>
          <w:sz w:val="20"/>
        </w:rPr>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1"/>
        <w:gridCol w:w="1541"/>
        <w:gridCol w:w="1534"/>
        <w:gridCol w:w="1534"/>
        <w:gridCol w:w="1534"/>
        <w:gridCol w:w="1555"/>
      </w:tblGrid>
      <w:tr w:rsidR="006F7987">
        <w:trPr>
          <w:trHeight w:hRule="exact" w:val="288"/>
          <w:jc w:val="center"/>
        </w:trPr>
        <w:tc>
          <w:tcPr>
            <w:tcW w:w="9239" w:type="dxa"/>
            <w:gridSpan w:val="6"/>
            <w:tcBorders>
              <w:top w:val="single" w:sz="4" w:space="0" w:color="auto"/>
              <w:left w:val="single" w:sz="4" w:space="0" w:color="auto"/>
              <w:right w:val="single" w:sz="4" w:space="0" w:color="auto"/>
            </w:tcBorders>
            <w:shd w:val="clear" w:color="auto" w:fill="auto"/>
            <w:vAlign w:val="bottom"/>
          </w:tcPr>
          <w:p w:rsidR="006F7987" w:rsidRDefault="004725E8" w:rsidP="003C275C">
            <w:pPr>
              <w:pStyle w:val="Other10"/>
              <w:spacing w:line="240" w:lineRule="auto"/>
              <w:ind w:firstLine="0"/>
              <w:jc w:val="center"/>
              <w:rPr>
                <w:sz w:val="20"/>
              </w:rPr>
            </w:pPr>
            <w:r>
              <w:rPr>
                <w:rStyle w:val="Other1"/>
              </w:rPr>
              <w:t xml:space="preserve">Discharge </w:t>
            </w:r>
            <w:r w:rsidRPr="003C275C">
              <w:rPr>
                <w:rStyle w:val="Other1"/>
              </w:rPr>
              <w:t>rate</w:t>
            </w:r>
            <w:r>
              <w:rPr>
                <w:rStyle w:val="Other1"/>
                <w:i/>
                <w:sz w:val="20"/>
              </w:rPr>
              <w:t>, m</w:t>
            </w:r>
            <w:r>
              <w:rPr>
                <w:rStyle w:val="Other1"/>
                <w:i/>
                <w:sz w:val="20"/>
                <w:vertAlign w:val="superscript"/>
              </w:rPr>
              <w:t>3</w:t>
            </w:r>
            <w:r>
              <w:rPr>
                <w:rStyle w:val="Other1"/>
                <w:i/>
                <w:sz w:val="20"/>
              </w:rPr>
              <w:t>/h</w:t>
            </w:r>
          </w:p>
        </w:tc>
      </w:tr>
      <w:tr w:rsidR="006F7987">
        <w:trPr>
          <w:trHeight w:hRule="exact" w:val="281"/>
          <w:jc w:val="center"/>
        </w:trPr>
        <w:tc>
          <w:tcPr>
            <w:tcW w:w="1541" w:type="dxa"/>
            <w:vMerge w:val="restart"/>
            <w:tcBorders>
              <w:top w:val="single" w:sz="4" w:space="0" w:color="auto"/>
              <w:left w:val="single" w:sz="4" w:space="0" w:color="auto"/>
            </w:tcBorders>
            <w:shd w:val="clear" w:color="auto" w:fill="auto"/>
            <w:vAlign w:val="bottom"/>
          </w:tcPr>
          <w:p w:rsidR="006F7987" w:rsidRDefault="004725E8">
            <w:pPr>
              <w:pStyle w:val="Other10"/>
              <w:spacing w:line="259" w:lineRule="auto"/>
              <w:ind w:firstLine="0"/>
              <w:jc w:val="center"/>
            </w:pPr>
            <w:r>
              <w:rPr>
                <w:rStyle w:val="Other1"/>
              </w:rPr>
              <w:t>Draught, m</w:t>
            </w:r>
          </w:p>
        </w:tc>
        <w:tc>
          <w:tcPr>
            <w:tcW w:w="7698" w:type="dxa"/>
            <w:gridSpan w:val="5"/>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40" w:lineRule="auto"/>
              <w:ind w:firstLine="0"/>
              <w:jc w:val="center"/>
              <w:rPr>
                <w:sz w:val="20"/>
              </w:rPr>
            </w:pPr>
            <w:r>
              <w:rPr>
                <w:rStyle w:val="Other1"/>
              </w:rPr>
              <w:t>speed</w:t>
            </w:r>
            <w:r>
              <w:rPr>
                <w:rStyle w:val="Other1"/>
                <w:i/>
                <w:sz w:val="20"/>
              </w:rPr>
              <w:t>, knots</w:t>
            </w:r>
          </w:p>
        </w:tc>
      </w:tr>
      <w:tr w:rsidR="006F7987">
        <w:trPr>
          <w:trHeight w:hRule="exact" w:val="295"/>
          <w:jc w:val="center"/>
        </w:trPr>
        <w:tc>
          <w:tcPr>
            <w:tcW w:w="1541" w:type="dxa"/>
            <w:vMerge/>
            <w:tcBorders>
              <w:left w:val="single" w:sz="4" w:space="0" w:color="auto"/>
            </w:tcBorders>
            <w:shd w:val="clear" w:color="auto" w:fill="auto"/>
            <w:vAlign w:val="bottom"/>
          </w:tcPr>
          <w:p w:rsidR="006F7987" w:rsidRDefault="006F7987"/>
        </w:tc>
        <w:tc>
          <w:tcPr>
            <w:tcW w:w="1541"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V</w:t>
            </w:r>
            <w:r>
              <w:rPr>
                <w:rStyle w:val="Other1"/>
                <w:vertAlign w:val="subscript"/>
              </w:rPr>
              <w:t>min</w:t>
            </w:r>
            <w:r>
              <w:rPr>
                <w:rStyle w:val="Other1"/>
              </w:rPr>
              <w:t>&gt; 4</w:t>
            </w:r>
          </w:p>
        </w:tc>
        <w:tc>
          <w:tcPr>
            <w:tcW w:w="1534" w:type="dxa"/>
            <w:tcBorders>
              <w:top w:val="single" w:sz="4" w:space="0" w:color="auto"/>
              <w:left w:val="single" w:sz="4" w:space="0" w:color="auto"/>
            </w:tcBorders>
            <w:shd w:val="clear" w:color="auto" w:fill="auto"/>
            <w:vAlign w:val="bottom"/>
          </w:tcPr>
          <w:p w:rsidR="006F7987" w:rsidRDefault="00B043B2">
            <w:pPr>
              <w:pStyle w:val="Other10"/>
              <w:spacing w:line="240" w:lineRule="auto"/>
              <w:ind w:firstLine="0"/>
              <w:jc w:val="center"/>
            </w:pPr>
            <w:r>
              <w:rPr>
                <w:rStyle w:val="Other1"/>
              </w:rPr>
              <w:t>V</w:t>
            </w:r>
            <w:r w:rsidRPr="00B043B2">
              <w:rPr>
                <w:rStyle w:val="Other1"/>
                <w:sz w:val="15"/>
                <w:vertAlign w:val="subscript"/>
              </w:rPr>
              <w:t>1</w:t>
            </w:r>
          </w:p>
        </w:tc>
        <w:tc>
          <w:tcPr>
            <w:tcW w:w="1534"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w:t>
            </w:r>
            <w:r>
              <w:rPr>
                <w:rStyle w:val="Other1"/>
                <w:sz w:val="15"/>
                <w:vertAlign w:val="subscript"/>
              </w:rPr>
              <w:t>2</w:t>
            </w:r>
          </w:p>
        </w:tc>
        <w:tc>
          <w:tcPr>
            <w:tcW w:w="1534"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w:t>
            </w:r>
            <w:r>
              <w:rPr>
                <w:rStyle w:val="Other1"/>
                <w:sz w:val="15"/>
                <w:vertAlign w:val="subscript"/>
              </w:rPr>
              <w:t>3</w:t>
            </w:r>
          </w:p>
        </w:tc>
        <w:tc>
          <w:tcPr>
            <w:tcW w:w="1555" w:type="dxa"/>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V max</w:t>
            </w:r>
          </w:p>
        </w:tc>
      </w:tr>
      <w:tr w:rsidR="006F7987">
        <w:trPr>
          <w:trHeight w:hRule="exact" w:val="274"/>
          <w:jc w:val="center"/>
        </w:trPr>
        <w:tc>
          <w:tcPr>
            <w:tcW w:w="1541"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Dmin</w:t>
            </w:r>
          </w:p>
        </w:tc>
        <w:tc>
          <w:tcPr>
            <w:tcW w:w="1541"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55"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74"/>
          <w:jc w:val="center"/>
        </w:trPr>
        <w:tc>
          <w:tcPr>
            <w:tcW w:w="1541" w:type="dxa"/>
            <w:tcBorders>
              <w:top w:val="single" w:sz="4" w:space="0" w:color="auto"/>
              <w:left w:val="single" w:sz="4" w:space="0" w:color="auto"/>
            </w:tcBorders>
            <w:shd w:val="clear" w:color="auto" w:fill="auto"/>
            <w:vAlign w:val="bottom"/>
          </w:tcPr>
          <w:p w:rsidR="006F7987" w:rsidRDefault="00AA424E">
            <w:pPr>
              <w:pStyle w:val="Other10"/>
              <w:spacing w:line="240" w:lineRule="auto"/>
              <w:ind w:firstLine="0"/>
              <w:jc w:val="center"/>
              <w:rPr>
                <w:sz w:val="15"/>
              </w:rPr>
            </w:pPr>
            <w:r>
              <w:rPr>
                <w:rStyle w:val="Other1"/>
                <w:sz w:val="15"/>
              </w:rPr>
              <w:t>D1</w:t>
            </w:r>
          </w:p>
        </w:tc>
        <w:tc>
          <w:tcPr>
            <w:tcW w:w="1541"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55"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81"/>
          <w:jc w:val="center"/>
        </w:trPr>
        <w:tc>
          <w:tcPr>
            <w:tcW w:w="1541"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pPr>
            <w:r>
              <w:rPr>
                <w:rStyle w:val="Other1"/>
              </w:rPr>
              <w:t>D</w:t>
            </w:r>
            <w:r>
              <w:rPr>
                <w:rStyle w:val="Other1"/>
                <w:vertAlign w:val="subscript"/>
              </w:rPr>
              <w:t>2</w:t>
            </w:r>
          </w:p>
        </w:tc>
        <w:tc>
          <w:tcPr>
            <w:tcW w:w="1541"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tcBorders>
            <w:shd w:val="clear" w:color="auto" w:fill="auto"/>
          </w:tcPr>
          <w:p w:rsidR="006F7987" w:rsidRDefault="006F7987">
            <w:pPr>
              <w:rPr>
                <w:sz w:val="10"/>
              </w:rPr>
            </w:pPr>
          </w:p>
        </w:tc>
        <w:tc>
          <w:tcPr>
            <w:tcW w:w="1555" w:type="dxa"/>
            <w:tcBorders>
              <w:top w:val="single" w:sz="4" w:space="0" w:color="auto"/>
              <w:left w:val="single" w:sz="4" w:space="0" w:color="auto"/>
              <w:right w:val="single" w:sz="4" w:space="0" w:color="auto"/>
            </w:tcBorders>
            <w:shd w:val="clear" w:color="auto" w:fill="auto"/>
          </w:tcPr>
          <w:p w:rsidR="006F7987" w:rsidRDefault="006F7987">
            <w:pPr>
              <w:rPr>
                <w:sz w:val="10"/>
              </w:rPr>
            </w:pPr>
          </w:p>
        </w:tc>
      </w:tr>
      <w:tr w:rsidR="006F7987">
        <w:trPr>
          <w:trHeight w:hRule="exact" w:val="295"/>
          <w:jc w:val="center"/>
        </w:trPr>
        <w:tc>
          <w:tcPr>
            <w:tcW w:w="1541" w:type="dxa"/>
            <w:tcBorders>
              <w:top w:val="single" w:sz="4" w:space="0" w:color="auto"/>
              <w:left w:val="single" w:sz="4" w:space="0" w:color="auto"/>
              <w:bottom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Dmax Summer</w:t>
            </w:r>
          </w:p>
        </w:tc>
        <w:tc>
          <w:tcPr>
            <w:tcW w:w="1541"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534" w:type="dxa"/>
            <w:tcBorders>
              <w:top w:val="single" w:sz="4" w:space="0" w:color="auto"/>
              <w:left w:val="single" w:sz="4" w:space="0" w:color="auto"/>
              <w:bottom w:val="single" w:sz="4" w:space="0" w:color="auto"/>
            </w:tcBorders>
            <w:shd w:val="clear" w:color="auto" w:fill="auto"/>
          </w:tcPr>
          <w:p w:rsidR="006F7987" w:rsidRDefault="006F7987">
            <w:pPr>
              <w:rPr>
                <w:sz w:val="10"/>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6F7987" w:rsidRDefault="006F7987">
            <w:pPr>
              <w:rPr>
                <w:sz w:val="10"/>
              </w:rPr>
            </w:pPr>
          </w:p>
        </w:tc>
      </w:tr>
    </w:tbl>
    <w:p w:rsidR="00AA424E" w:rsidRDefault="00AA424E">
      <w:pPr>
        <w:pStyle w:val="Bodytext10"/>
        <w:spacing w:after="100"/>
        <w:ind w:firstLine="0"/>
        <w:rPr>
          <w:rStyle w:val="Bodytext1"/>
          <w:i/>
          <w:sz w:val="20"/>
          <w:u w:val="single"/>
        </w:rPr>
      </w:pPr>
    </w:p>
    <w:p w:rsidR="006F7987" w:rsidRDefault="004725E8">
      <w:pPr>
        <w:pStyle w:val="Bodytext10"/>
        <w:spacing w:after="100"/>
        <w:ind w:firstLine="0"/>
        <w:rPr>
          <w:sz w:val="20"/>
        </w:rPr>
      </w:pPr>
      <w:r>
        <w:rPr>
          <w:rStyle w:val="Bodytext1"/>
          <w:i/>
          <w:sz w:val="20"/>
        </w:rPr>
        <w:t>note. Values of speed and Draught have to he indicated subject to specifics of specific ship. Minimum speed of ship cannot be indicated less than 4 knots.</w:t>
      </w:r>
    </w:p>
    <w:p w:rsidR="006F7987" w:rsidRDefault="004725E8">
      <w:pPr>
        <w:pStyle w:val="Bodytext10"/>
        <w:numPr>
          <w:ilvl w:val="0"/>
          <w:numId w:val="9"/>
        </w:numPr>
        <w:tabs>
          <w:tab w:val="left" w:pos="301"/>
        </w:tabs>
        <w:spacing w:line="240" w:lineRule="auto"/>
        <w:ind w:firstLine="0"/>
        <w:jc w:val="both"/>
      </w:pPr>
      <w:r>
        <w:rPr>
          <w:rStyle w:val="Bodytext1"/>
        </w:rPr>
        <w:t>.The choice of the operating parameters of the ship (V and d) where the actual intensity of discharge of raw waste water does not exceed the meanings of the estimated maximum permissible discharge intensity, i.e. the following conditions are met:</w:t>
      </w:r>
    </w:p>
    <w:p w:rsidR="006F7987" w:rsidRDefault="004725E8">
      <w:pPr>
        <w:pStyle w:val="Bodytext10"/>
        <w:spacing w:after="100" w:line="276" w:lineRule="auto"/>
        <w:ind w:firstLine="0"/>
        <w:jc w:val="both"/>
        <w:rPr>
          <w:sz w:val="20"/>
        </w:rPr>
      </w:pPr>
      <w:r>
        <w:rPr>
          <w:rStyle w:val="Bodytext1"/>
          <w:i/>
          <w:sz w:val="20"/>
        </w:rPr>
        <w:t>Option of ship’s operation parameters (V u d) when actual discharge rate not exceeds the maximum permissible discharge rate, i.e. following condition is implemented:</w:t>
      </w:r>
    </w:p>
    <w:p w:rsidR="006F7987" w:rsidRDefault="004725E8">
      <w:pPr>
        <w:pStyle w:val="Bodytext10"/>
        <w:spacing w:line="240" w:lineRule="auto"/>
        <w:ind w:firstLine="0"/>
        <w:jc w:val="both"/>
        <w:rPr>
          <w:sz w:val="20"/>
        </w:rPr>
      </w:pPr>
      <w:r>
        <w:rPr>
          <w:rStyle w:val="Bodytext1"/>
        </w:rPr>
        <w:t>Q</w:t>
      </w:r>
      <w:r w:rsidR="00AA424E">
        <w:rPr>
          <w:rStyle w:val="Bodytext1"/>
        </w:rPr>
        <w:t>pump</w:t>
      </w:r>
      <w:r>
        <w:rPr>
          <w:rStyle w:val="Bodytext1"/>
        </w:rPr>
        <w:t xml:space="preserve"> </w:t>
      </w:r>
      <w:r w:rsidR="00AA424E">
        <w:rPr>
          <w:rStyle w:val="Bodytext1"/>
        </w:rPr>
        <w:t>≤</w:t>
      </w:r>
      <w:r>
        <w:rPr>
          <w:rStyle w:val="Bodytext1"/>
        </w:rPr>
        <w:t xml:space="preserve"> </w:t>
      </w:r>
      <w:r>
        <w:rPr>
          <w:rStyle w:val="Bodytext1"/>
          <w:b/>
        </w:rPr>
        <w:t xml:space="preserve">DRmax </w:t>
      </w:r>
      <w:r>
        <w:rPr>
          <w:rStyle w:val="Bodytext1"/>
          <w:i/>
          <w:sz w:val="20"/>
        </w:rPr>
        <w:t>where</w:t>
      </w:r>
    </w:p>
    <w:p w:rsidR="006F7987" w:rsidRDefault="004725E8">
      <w:pPr>
        <w:pStyle w:val="Bodytext10"/>
        <w:spacing w:after="100" w:line="240" w:lineRule="auto"/>
        <w:ind w:firstLine="0"/>
        <w:rPr>
          <w:sz w:val="20"/>
        </w:rPr>
      </w:pPr>
      <w:r>
        <w:rPr>
          <w:rStyle w:val="Bodytext1"/>
        </w:rPr>
        <w:t>Q</w:t>
      </w:r>
      <w:r w:rsidR="00AA424E">
        <w:rPr>
          <w:rStyle w:val="Bodytext1"/>
        </w:rPr>
        <w:t>pump</w:t>
      </w:r>
      <w:r>
        <w:rPr>
          <w:rStyle w:val="Bodytext1"/>
        </w:rPr>
        <w:t>- fixed pump performance (m³/h</w:t>
      </w:r>
      <w:r>
        <w:rPr>
          <w:rStyle w:val="Bodytext1"/>
          <w:vertAlign w:val="superscript"/>
        </w:rPr>
        <w:t>)</w:t>
      </w:r>
      <w:r>
        <w:rPr>
          <w:rStyle w:val="Bodytext1"/>
        </w:rPr>
        <w:t xml:space="preserve">/fixed </w:t>
      </w:r>
      <w:r>
        <w:rPr>
          <w:rStyle w:val="Bodytext1"/>
          <w:i/>
          <w:sz w:val="20"/>
        </w:rPr>
        <w:t>pump flow (m</w:t>
      </w:r>
      <w:r>
        <w:rPr>
          <w:rStyle w:val="Bodytext1"/>
          <w:i/>
          <w:sz w:val="20"/>
          <w:vertAlign w:val="superscript"/>
        </w:rPr>
        <w:t>3/h</w:t>
      </w:r>
      <w:r>
        <w:rPr>
          <w:rStyle w:val="Bodytext1"/>
          <w:i/>
          <w:sz w:val="20"/>
        </w:rPr>
        <w:t>);</w:t>
      </w:r>
    </w:p>
    <w:p w:rsidR="006F7987" w:rsidRDefault="004725E8">
      <w:pPr>
        <w:pStyle w:val="Bodytext10"/>
        <w:spacing w:line="252" w:lineRule="auto"/>
        <w:ind w:firstLine="0"/>
        <w:jc w:val="both"/>
      </w:pPr>
      <w:r>
        <w:rPr>
          <w:rStyle w:val="Bodytext1"/>
        </w:rPr>
        <w:t>The following minimum operating speed values of the vessel V</w:t>
      </w:r>
      <w:r w:rsidR="00AA424E">
        <w:rPr>
          <w:rStyle w:val="Bodytext1"/>
          <w:vertAlign w:val="subscript"/>
        </w:rPr>
        <w:t xml:space="preserve">min </w:t>
      </w:r>
      <w:r>
        <w:rPr>
          <w:rStyle w:val="Bodytext1"/>
        </w:rPr>
        <w:t>depending on the operational draught of the vessel are allowed for the choice of permissible DRmax meanings in accordance with the estimated data given in Table 2:</w:t>
      </w:r>
    </w:p>
    <w:p w:rsidR="006F7987" w:rsidRDefault="004725E8">
      <w:pPr>
        <w:pStyle w:val="Bodytext10"/>
        <w:spacing w:after="100" w:line="276" w:lineRule="auto"/>
        <w:ind w:firstLine="0"/>
        <w:jc w:val="both"/>
        <w:rPr>
          <w:sz w:val="20"/>
        </w:rPr>
      </w:pPr>
      <w:r>
        <w:rPr>
          <w:rStyle w:val="Bodytext1"/>
          <w:i/>
          <w:sz w:val="20"/>
        </w:rPr>
        <w:t>On the basis of permissible values of DRmax in the Table 1 the following values of minimum operation speed V</w:t>
      </w:r>
      <w:r>
        <w:rPr>
          <w:rStyle w:val="Bodytext1"/>
          <w:i/>
          <w:sz w:val="20"/>
          <w:vertAlign w:val="subscript"/>
        </w:rPr>
        <w:t>min</w:t>
      </w:r>
      <w:r>
        <w:rPr>
          <w:rStyle w:val="Bodytext1"/>
          <w:i/>
          <w:sz w:val="20"/>
        </w:rPr>
        <w:t xml:space="preserve"> is permitted subject to operation Draught of ship:</w:t>
      </w:r>
    </w:p>
    <w:p w:rsidR="006F7987" w:rsidRDefault="004725E8">
      <w:pPr>
        <w:pStyle w:val="Tablecaption10"/>
        <w:tabs>
          <w:tab w:val="left" w:leader="underscore" w:pos="842"/>
        </w:tabs>
        <w:spacing w:line="240" w:lineRule="auto"/>
        <w:jc w:val="center"/>
      </w:pPr>
      <w:r>
        <w:rPr>
          <w:rStyle w:val="Tablecaption1"/>
          <w:sz w:val="22"/>
        </w:rPr>
        <w:t xml:space="preserve">Table </w:t>
      </w:r>
      <w:r>
        <w:rPr>
          <w:rStyle w:val="Tablecaption1"/>
          <w:i/>
        </w:rPr>
        <w:t>2</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48"/>
        <w:gridCol w:w="1886"/>
      </w:tblGrid>
      <w:tr w:rsidR="006F7987">
        <w:trPr>
          <w:trHeight w:hRule="exact" w:val="554"/>
          <w:jc w:val="center"/>
        </w:trPr>
        <w:tc>
          <w:tcPr>
            <w:tcW w:w="1548" w:type="dxa"/>
            <w:tcBorders>
              <w:top w:val="single" w:sz="4" w:space="0" w:color="auto"/>
              <w:left w:val="single" w:sz="4" w:space="0" w:color="auto"/>
            </w:tcBorders>
            <w:shd w:val="clear" w:color="auto" w:fill="auto"/>
            <w:vAlign w:val="bottom"/>
          </w:tcPr>
          <w:p w:rsidR="006F7987" w:rsidRDefault="004725E8">
            <w:pPr>
              <w:pStyle w:val="Other10"/>
              <w:spacing w:line="271" w:lineRule="auto"/>
              <w:ind w:firstLine="0"/>
              <w:jc w:val="center"/>
              <w:rPr>
                <w:sz w:val="20"/>
              </w:rPr>
            </w:pPr>
            <w:r>
              <w:rPr>
                <w:rStyle w:val="Other1"/>
                <w:i/>
                <w:sz w:val="20"/>
              </w:rPr>
              <w:t>Draught, m</w:t>
            </w:r>
          </w:p>
        </w:tc>
        <w:tc>
          <w:tcPr>
            <w:tcW w:w="1886" w:type="dxa"/>
            <w:tcBorders>
              <w:top w:val="single" w:sz="4" w:space="0" w:color="auto"/>
              <w:left w:val="single" w:sz="4" w:space="0" w:color="auto"/>
              <w:right w:val="single" w:sz="4" w:space="0" w:color="auto"/>
            </w:tcBorders>
            <w:shd w:val="clear" w:color="auto" w:fill="auto"/>
            <w:vAlign w:val="bottom"/>
          </w:tcPr>
          <w:p w:rsidR="006F7987" w:rsidRDefault="004725E8">
            <w:pPr>
              <w:pStyle w:val="Other10"/>
              <w:spacing w:line="264" w:lineRule="auto"/>
              <w:ind w:firstLine="0"/>
              <w:jc w:val="center"/>
              <w:rPr>
                <w:sz w:val="20"/>
              </w:rPr>
            </w:pPr>
            <w:r>
              <w:rPr>
                <w:rStyle w:val="Other1"/>
                <w:i/>
                <w:sz w:val="20"/>
              </w:rPr>
              <w:t>Speed, knots</w:t>
            </w:r>
          </w:p>
        </w:tc>
      </w:tr>
      <w:tr w:rsidR="006F7987">
        <w:trPr>
          <w:trHeight w:hRule="exact" w:val="295"/>
          <w:jc w:val="center"/>
        </w:trPr>
        <w:tc>
          <w:tcPr>
            <w:tcW w:w="1548"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the Dmin</w:t>
            </w:r>
          </w:p>
        </w:tc>
        <w:tc>
          <w:tcPr>
            <w:tcW w:w="1886" w:type="dxa"/>
            <w:tcBorders>
              <w:top w:val="single" w:sz="4" w:space="0" w:color="auto"/>
              <w:left w:val="single" w:sz="4" w:space="0" w:color="auto"/>
              <w:right w:val="single" w:sz="4" w:space="0" w:color="auto"/>
            </w:tcBorders>
            <w:shd w:val="clear" w:color="auto" w:fill="auto"/>
            <w:vAlign w:val="bottom"/>
          </w:tcPr>
          <w:p w:rsidR="006F7987" w:rsidRDefault="00B043B2" w:rsidP="00B043B2">
            <w:pPr>
              <w:pStyle w:val="Other10"/>
              <w:spacing w:line="240" w:lineRule="auto"/>
              <w:ind w:firstLine="460"/>
              <w:rPr>
                <w:sz w:val="15"/>
              </w:rPr>
            </w:pPr>
            <w:r>
              <w:rPr>
                <w:rStyle w:val="Other1"/>
                <w:sz w:val="15"/>
              </w:rPr>
              <w:t>Vmin&gt;V</w:t>
            </w:r>
            <w:r>
              <w:rPr>
                <w:rStyle w:val="Other1"/>
                <w:sz w:val="15"/>
                <w:vertAlign w:val="subscript"/>
              </w:rPr>
              <w:t>3</w:t>
            </w:r>
          </w:p>
        </w:tc>
      </w:tr>
      <w:tr w:rsidR="006F7987">
        <w:trPr>
          <w:trHeight w:hRule="exact" w:val="295"/>
          <w:jc w:val="center"/>
        </w:trPr>
        <w:tc>
          <w:tcPr>
            <w:tcW w:w="1548" w:type="dxa"/>
            <w:tcBorders>
              <w:top w:val="single" w:sz="4" w:space="0" w:color="auto"/>
              <w:left w:val="single" w:sz="4" w:space="0" w:color="auto"/>
            </w:tcBorders>
            <w:shd w:val="clear" w:color="auto" w:fill="auto"/>
            <w:vAlign w:val="bottom"/>
          </w:tcPr>
          <w:p w:rsidR="006F7987" w:rsidRDefault="00B043B2">
            <w:pPr>
              <w:pStyle w:val="Other10"/>
              <w:spacing w:line="240" w:lineRule="auto"/>
              <w:ind w:firstLine="0"/>
              <w:jc w:val="center"/>
              <w:rPr>
                <w:sz w:val="15"/>
              </w:rPr>
            </w:pPr>
            <w:r>
              <w:rPr>
                <w:rStyle w:val="Other1"/>
                <w:sz w:val="15"/>
              </w:rPr>
              <w:t>D1</w:t>
            </w:r>
          </w:p>
        </w:tc>
        <w:tc>
          <w:tcPr>
            <w:tcW w:w="1886" w:type="dxa"/>
            <w:tcBorders>
              <w:top w:val="single" w:sz="4" w:space="0" w:color="auto"/>
              <w:left w:val="single" w:sz="4" w:space="0" w:color="auto"/>
              <w:right w:val="single" w:sz="4" w:space="0" w:color="auto"/>
            </w:tcBorders>
            <w:shd w:val="clear" w:color="auto" w:fill="auto"/>
            <w:vAlign w:val="bottom"/>
          </w:tcPr>
          <w:p w:rsidR="006F7987" w:rsidRDefault="004725E8" w:rsidP="00B043B2">
            <w:pPr>
              <w:pStyle w:val="Other10"/>
              <w:spacing w:line="240" w:lineRule="auto"/>
              <w:ind w:firstLine="460"/>
              <w:rPr>
                <w:sz w:val="15"/>
              </w:rPr>
            </w:pPr>
            <w:r>
              <w:rPr>
                <w:rStyle w:val="Other1"/>
                <w:sz w:val="15"/>
              </w:rPr>
              <w:t>Vmin</w:t>
            </w:r>
            <w:r w:rsidR="00B043B2">
              <w:rPr>
                <w:rStyle w:val="Other1"/>
                <w:sz w:val="15"/>
              </w:rPr>
              <w:t>≥</w:t>
            </w:r>
            <w:r>
              <w:rPr>
                <w:rStyle w:val="Other1"/>
                <w:sz w:val="15"/>
              </w:rPr>
              <w:t>V</w:t>
            </w:r>
            <w:r>
              <w:rPr>
                <w:rStyle w:val="Other1"/>
                <w:sz w:val="15"/>
                <w:vertAlign w:val="subscript"/>
              </w:rPr>
              <w:t>2</w:t>
            </w:r>
          </w:p>
        </w:tc>
      </w:tr>
      <w:tr w:rsidR="006F7987">
        <w:trPr>
          <w:trHeight w:hRule="exact" w:val="302"/>
          <w:jc w:val="center"/>
        </w:trPr>
        <w:tc>
          <w:tcPr>
            <w:tcW w:w="1548" w:type="dxa"/>
            <w:tcBorders>
              <w:top w:val="single" w:sz="4" w:space="0" w:color="auto"/>
              <w:left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w:t>
            </w:r>
            <w:r>
              <w:rPr>
                <w:rStyle w:val="Other1"/>
                <w:sz w:val="15"/>
                <w:vertAlign w:val="subscript"/>
              </w:rPr>
              <w:t>2</w:t>
            </w:r>
          </w:p>
        </w:tc>
        <w:tc>
          <w:tcPr>
            <w:tcW w:w="1886" w:type="dxa"/>
            <w:tcBorders>
              <w:top w:val="single" w:sz="4" w:space="0" w:color="auto"/>
              <w:left w:val="single" w:sz="4" w:space="0" w:color="auto"/>
              <w:right w:val="single" w:sz="4" w:space="0" w:color="auto"/>
            </w:tcBorders>
            <w:shd w:val="clear" w:color="auto" w:fill="auto"/>
            <w:vAlign w:val="bottom"/>
          </w:tcPr>
          <w:p w:rsidR="006F7987" w:rsidRDefault="00AA424E" w:rsidP="00B043B2">
            <w:pPr>
              <w:pStyle w:val="Other10"/>
              <w:spacing w:line="240" w:lineRule="auto"/>
              <w:ind w:firstLine="460"/>
              <w:rPr>
                <w:sz w:val="15"/>
              </w:rPr>
            </w:pPr>
            <w:r>
              <w:rPr>
                <w:rStyle w:val="Other1"/>
                <w:sz w:val="15"/>
              </w:rPr>
              <w:t>Vmin</w:t>
            </w:r>
            <w:r w:rsidR="00B043B2">
              <w:rPr>
                <w:rStyle w:val="Other1"/>
                <w:sz w:val="15"/>
              </w:rPr>
              <w:t>≥</w:t>
            </w:r>
            <w:r>
              <w:rPr>
                <w:rStyle w:val="Other1"/>
                <w:sz w:val="15"/>
              </w:rPr>
              <w:t>V</w:t>
            </w:r>
            <w:r>
              <w:rPr>
                <w:rStyle w:val="Other1"/>
                <w:sz w:val="15"/>
                <w:vertAlign w:val="subscript"/>
              </w:rPr>
              <w:t>2</w:t>
            </w:r>
          </w:p>
        </w:tc>
      </w:tr>
      <w:tr w:rsidR="006F7987">
        <w:trPr>
          <w:trHeight w:hRule="exact" w:val="302"/>
          <w:jc w:val="center"/>
        </w:trPr>
        <w:tc>
          <w:tcPr>
            <w:tcW w:w="1548" w:type="dxa"/>
            <w:tcBorders>
              <w:top w:val="single" w:sz="4" w:space="0" w:color="auto"/>
              <w:left w:val="single" w:sz="4" w:space="0" w:color="auto"/>
              <w:bottom w:val="single" w:sz="4" w:space="0" w:color="auto"/>
            </w:tcBorders>
            <w:shd w:val="clear" w:color="auto" w:fill="auto"/>
            <w:vAlign w:val="bottom"/>
          </w:tcPr>
          <w:p w:rsidR="006F7987" w:rsidRDefault="004725E8">
            <w:pPr>
              <w:pStyle w:val="Other10"/>
              <w:spacing w:line="240" w:lineRule="auto"/>
              <w:ind w:firstLine="0"/>
              <w:jc w:val="center"/>
              <w:rPr>
                <w:sz w:val="15"/>
              </w:rPr>
            </w:pPr>
            <w:r>
              <w:rPr>
                <w:rStyle w:val="Other1"/>
                <w:sz w:val="15"/>
              </w:rPr>
              <w:t>Dmax Summer</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bottom"/>
          </w:tcPr>
          <w:p w:rsidR="006F7987" w:rsidRDefault="00AA424E" w:rsidP="00B043B2">
            <w:pPr>
              <w:pStyle w:val="Other10"/>
              <w:spacing w:line="240" w:lineRule="auto"/>
              <w:ind w:firstLine="460"/>
              <w:rPr>
                <w:sz w:val="15"/>
              </w:rPr>
            </w:pPr>
            <w:r>
              <w:rPr>
                <w:rStyle w:val="Other1"/>
                <w:sz w:val="15"/>
              </w:rPr>
              <w:t>Vmin</w:t>
            </w:r>
            <w:r w:rsidR="00B043B2">
              <w:rPr>
                <w:rStyle w:val="Other1"/>
                <w:sz w:val="15"/>
              </w:rPr>
              <w:t>≥</w:t>
            </w:r>
            <w:r>
              <w:rPr>
                <w:rStyle w:val="Other1"/>
                <w:sz w:val="15"/>
              </w:rPr>
              <w:t>V</w:t>
            </w:r>
            <w:r>
              <w:rPr>
                <w:rStyle w:val="Other1"/>
                <w:sz w:val="15"/>
                <w:vertAlign w:val="subscript"/>
              </w:rPr>
              <w:t>1</w:t>
            </w:r>
          </w:p>
        </w:tc>
      </w:tr>
    </w:tbl>
    <w:p w:rsidR="004725E8" w:rsidRDefault="004725E8"/>
    <w:sectPr w:rsidR="004725E8">
      <w:footerReference w:type="default" r:id="rId9"/>
      <w:pgSz w:w="11900" w:h="16840"/>
      <w:pgMar w:top="2522" w:right="1269" w:bottom="1626" w:left="1213" w:header="2094"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3B7" w:rsidRDefault="006253B7">
      <w:r>
        <w:separator/>
      </w:r>
    </w:p>
  </w:endnote>
  <w:endnote w:type="continuationSeparator" w:id="0">
    <w:p w:rsidR="006253B7" w:rsidRDefault="0062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7" w:rsidRDefault="004725E8">
    <w:pPr>
      <w:spacing w:line="1" w:lineRule="exact"/>
    </w:pPr>
    <w:r>
      <w:rPr>
        <w:noProof/>
        <w:lang w:val="bg-BG"/>
      </w:rPr>
      <mc:AlternateContent>
        <mc:Choice Requires="wps">
          <w:drawing>
            <wp:anchor distT="0" distB="0" distL="0" distR="0" simplePos="0" relativeHeight="62914690" behindDoc="1" locked="0" layoutInCell="1" allowOverlap="1" wp14:anchorId="21FF7071" wp14:editId="5F896DCD">
              <wp:simplePos x="0" y="0"/>
              <wp:positionH relativeFrom="page">
                <wp:posOffset>6648450</wp:posOffset>
              </wp:positionH>
              <wp:positionV relativeFrom="page">
                <wp:posOffset>10100945</wp:posOffset>
              </wp:positionV>
              <wp:extent cx="64135" cy="100330"/>
              <wp:effectExtent l="0" t="0" r="0" b="0"/>
              <wp:wrapNone/>
              <wp:docPr id="2" name="The Shape 2"/>
              <wp:cNvGraphicFramePr/>
              <a:graphic xmlns:a="http://schemas.openxmlformats.org/drawingml/2006/main">
                <a:graphicData uri="http://schemas.microsoft.com/office/word/2010/wordprocessingShape">
                  <wps:wsp>
                    <wps:cNvSpPr txBox="1"/>
                    <wps:spPr>
                      <a:xfrm>
                        <a:off x="0" y="0"/>
                        <a:ext cx="64135" cy="100330"/>
                      </a:xfrm>
                      <a:prstGeom prst="rect">
                        <a:avLst/>
                      </a:prstGeom>
                      <a:noFill/>
                    </wps:spPr>
                    <wps:txbx>
                      <w:txbxContent>
                        <w:p w:rsidR="006F7987" w:rsidRDefault="004725E8">
                          <w:pPr>
                            <w:pStyle w:val="Headerorfooter20"/>
                            <w:rPr>
                              <w:sz w:val="22"/>
                            </w:rPr>
                          </w:pPr>
                          <w:r>
                            <w:fldChar w:fldCharType="begin"/>
                          </w:r>
                          <w:r>
                            <w:instrText xml:space="preserve"> PAGE \* MERGEFORMAT </w:instrText>
                          </w:r>
                          <w:r>
                            <w:fldChar w:fldCharType="separate"/>
                          </w:r>
                          <w:r w:rsidR="007F23B7" w:rsidRPr="007F23B7">
                            <w:rPr>
                              <w:rStyle w:val="Headerorfooter2"/>
                              <w:noProof/>
                              <w:sz w:val="22"/>
                              <w:szCs w:val="22"/>
                            </w:rPr>
                            <w:t>4</w:t>
                          </w:r>
                          <w:r>
                            <w:rPr>
                              <w:rStyle w:val="Headerorfooter2"/>
                              <w:sz w:val="22"/>
                              <w:szCs w:val="22"/>
                            </w:rPr>
                            <w:fldChar w:fldCharType="end"/>
                          </w:r>
                        </w:p>
                      </w:txbxContent>
                    </wps:txbx>
                    <wps:bodyPr wrap="none" lIns="0" tIns="0" rIns="0" bIns="0">
                      <a:spAutoFit/>
                    </wps:bodyPr>
                  </wps:wsp>
                </a:graphicData>
              </a:graphic>
            </wp:anchor>
          </w:drawing>
        </mc:Choice>
        <mc:Fallback>
          <w:pict>
            <v:shapetype w14:anchorId="21FF7071" id="_x0000_t202" coordsize="21600,21600" o:spt="202" path="m,l,21600r21600,l21600,xe">
              <v:stroke joinstyle="miter"/>
              <v:path gradientshapeok="t" o:connecttype="rect"/>
            </v:shapetype>
            <v:shape id="The Shape 2" o:spid="_x0000_s1026" type="#_x0000_t202" style="position:absolute;margin-left:523.5pt;margin-top:795.35pt;width:5.0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" filled="f" stroked="f">
              <v:textbox style="mso-fit-shape-to-text:t" inset="0,0,0,0">
                <w:txbxContent>
                  <w:p w:rsidR="006F7987" w:rsidRDefault="004725E8">
                    <w:pPr>
                      <w:pStyle w:val="Headerorfooter20"/>
                      <w:rPr>
                        <w:sz w:val="22"/>
                      </w:rPr>
                    </w:pPr>
                    <w:r>
                      <w:fldChar w:fldCharType="begin"/>
                    </w:r>
                    <w:r>
                      <w:instrText xml:space="preserve"> PAGE \* MERGEFORMAT </w:instrText>
                    </w:r>
                    <w:r>
                      <w:fldChar w:fldCharType="separate"/>
                    </w:r>
                    <w:r w:rsidR="007F23B7" w:rsidRPr="007F23B7">
                      <w:rPr>
                        <w:rStyle w:val="Headerorfooter2"/>
                        <w:noProof/>
                        <w:sz w:val="22"/>
                        <w:szCs w:val="22"/>
                      </w:rPr>
                      <w:t>4</w:t>
                    </w:r>
                    <w:r>
                      <w:rPr>
                        <w:rStyle w:val="Headerorfooter2"/>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7" w:rsidRDefault="006F7987">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987" w:rsidRDefault="004725E8">
    <w:pPr>
      <w:spacing w:line="1" w:lineRule="exact"/>
    </w:pPr>
    <w:r>
      <w:rPr>
        <w:noProof/>
        <w:lang w:val="bg-BG"/>
      </w:rPr>
      <mc:AlternateContent>
        <mc:Choice Requires="wps">
          <w:drawing>
            <wp:anchor distT="0" distB="0" distL="0" distR="0" simplePos="0" relativeHeight="62914692" behindDoc="1" locked="0" layoutInCell="1" allowOverlap="1">
              <wp:simplePos x="0" y="0"/>
              <wp:positionH relativeFrom="page">
                <wp:posOffset>6649720</wp:posOffset>
              </wp:positionH>
              <wp:positionV relativeFrom="page">
                <wp:posOffset>9789795</wp:posOffset>
              </wp:positionV>
              <wp:extent cx="59690" cy="95885"/>
              <wp:effectExtent l="0" t="0" r="0" b="0"/>
              <wp:wrapNone/>
              <wp:docPr id="4" name="The Shape 4"/>
              <wp:cNvGraphicFramePr/>
              <a:graphic xmlns:a="http://schemas.openxmlformats.org/drawingml/2006/main">
                <a:graphicData uri="http://schemas.microsoft.com/office/word/2010/wordprocessingShape">
                  <wps:wsp>
                    <wps:cNvSpPr txBox="1"/>
                    <wps:spPr>
                      <a:xfrm>
                        <a:off x="0" y="0"/>
                        <a:ext cx="59690" cy="95885"/>
                      </a:xfrm>
                      <a:prstGeom prst="rect">
                        <a:avLst/>
                      </a:prstGeom>
                      <a:noFill/>
                    </wps:spPr>
                    <wps:txbx>
                      <w:txbxContent>
                        <w:p w:rsidR="006F7987" w:rsidRDefault="004725E8">
                          <w:pPr>
                            <w:pStyle w:val="Headerorfooter20"/>
                          </w:pPr>
                          <w:r>
                            <w:fldChar w:fldCharType="begin"/>
                          </w:r>
                          <w:r>
                            <w:instrText xml:space="preserve"> PAGE \* MERGEFORMAT </w:instrText>
                          </w:r>
                          <w:r>
                            <w:fldChar w:fldCharType="separate"/>
                          </w:r>
                          <w:r w:rsidR="007F23B7" w:rsidRPr="007F23B7">
                            <w:rPr>
                              <w:rStyle w:val="Headerorfooter2"/>
                              <w:i/>
                              <w:iCs/>
                              <w:noProof/>
                            </w:rPr>
                            <w:t>1</w:t>
                          </w:r>
                          <w:r>
                            <w:rPr>
                              <w:rStyle w:val="Headerorfooter2"/>
                              <w:i/>
                              <w:iC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4" o:spid="_x0000_s1027" type="#_x0000_t202" style="position:absolute;margin-left:523.6pt;margin-top:770.85pt;width:4.7pt;height:7.5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" filled="f" stroked="f">
              <v:textbox style="mso-fit-shape-to-text:t" inset="0,0,0,0">
                <w:txbxContent>
                  <w:p w:rsidR="006F7987" w:rsidRDefault="004725E8">
                    <w:pPr>
                      <w:pStyle w:val="Headerorfooter20"/>
                    </w:pPr>
                    <w:r>
                      <w:fldChar w:fldCharType="begin"/>
                    </w:r>
                    <w:r>
                      <w:instrText xml:space="preserve"> PAGE \* MERGEFORMAT </w:instrText>
                    </w:r>
                    <w:r>
                      <w:fldChar w:fldCharType="separate"/>
                    </w:r>
                    <w:r w:rsidR="007F23B7" w:rsidRPr="007F23B7">
                      <w:rPr>
                        <w:rStyle w:val="Headerorfooter2"/>
                        <w:i/>
                        <w:iCs/>
                        <w:noProof/>
                      </w:rPr>
                      <w:t>1</w:t>
                    </w:r>
                    <w:r>
                      <w:rPr>
                        <w:rStyle w:val="Headerorfooter2"/>
                        <w:i/>
                        <w:i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3B7" w:rsidRDefault="006253B7"/>
  </w:footnote>
  <w:footnote w:type="continuationSeparator" w:id="0">
    <w:p w:rsidR="006253B7" w:rsidRDefault="006253B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44"/>
    <w:multiLevelType w:val="multilevel"/>
    <w:tmpl w:val="F10AD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332AFF"/>
    <w:multiLevelType w:val="multilevel"/>
    <w:tmpl w:val="58A6498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946A03"/>
    <w:multiLevelType w:val="multilevel"/>
    <w:tmpl w:val="76C271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85540"/>
    <w:multiLevelType w:val="multilevel"/>
    <w:tmpl w:val="7E588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57F1F"/>
    <w:multiLevelType w:val="multilevel"/>
    <w:tmpl w:val="1C7C277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994F8F"/>
    <w:multiLevelType w:val="multilevel"/>
    <w:tmpl w:val="AD5C1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C0723C"/>
    <w:multiLevelType w:val="multilevel"/>
    <w:tmpl w:val="8A1271E6"/>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161DB6"/>
    <w:multiLevelType w:val="multilevel"/>
    <w:tmpl w:val="EDFA3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4B7E6D"/>
    <w:multiLevelType w:val="multilevel"/>
    <w:tmpl w:val="E63C4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8A36FF"/>
    <w:multiLevelType w:val="hybridMultilevel"/>
    <w:tmpl w:val="3780B3AC"/>
    <w:lvl w:ilvl="0" w:tplc="6E44AB32">
      <w:start w:val="1"/>
      <w:numFmt w:val="upperRoman"/>
      <w:lvlText w:val="%1."/>
      <w:lvlJc w:val="left"/>
      <w:pPr>
        <w:ind w:left="1420" w:hanging="72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0" w15:restartNumberingAfterBreak="0">
    <w:nsid w:val="72E50D88"/>
    <w:multiLevelType w:val="multilevel"/>
    <w:tmpl w:val="8CC84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1"/>
  </w:num>
  <w:num w:numId="4">
    <w:abstractNumId w:val="5"/>
  </w:num>
  <w:num w:numId="5">
    <w:abstractNumId w:val="7"/>
  </w:num>
  <w:num w:numId="6">
    <w:abstractNumId w:val="3"/>
  </w:num>
  <w:num w:numId="7">
    <w:abstractNumId w:val="10"/>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87"/>
    <w:rsid w:val="000F3FFC"/>
    <w:rsid w:val="002C6C1A"/>
    <w:rsid w:val="003C275C"/>
    <w:rsid w:val="004725E8"/>
    <w:rsid w:val="006253B7"/>
    <w:rsid w:val="00672C6A"/>
    <w:rsid w:val="006F7987"/>
    <w:rsid w:val="00766224"/>
    <w:rsid w:val="007A1295"/>
    <w:rsid w:val="007F23B7"/>
    <w:rsid w:val="008D1536"/>
    <w:rsid w:val="008F5935"/>
    <w:rsid w:val="00AA424E"/>
    <w:rsid w:val="00B043B2"/>
    <w:rsid w:val="00BE64EA"/>
    <w:rsid w:val="00D10527"/>
    <w:rsid w:val="00D24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498B"/>
  <w15:docId w15:val="{B2C5C912-3B2B-4C15-B66F-A3CB7135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1">
    <w:name w:val="Heading #2|1_"/>
    <w:basedOn w:val="DefaultParagraphFont"/>
    <w:link w:val="Heading210"/>
    <w:rPr>
      <w:b/>
      <w:i w:val="0"/>
      <w:smallCaps w:val="0"/>
      <w:strike w:val="0"/>
      <w:sz w:val="22"/>
      <w:u w:val="none"/>
    </w:rPr>
  </w:style>
  <w:style w:type="character" w:customStyle="1" w:styleId="Bodytext1">
    <w:name w:val="Body text|1_"/>
    <w:basedOn w:val="DefaultParagraphFont"/>
    <w:link w:val="Bodytext10"/>
    <w:rPr>
      <w:b w:val="0"/>
      <w:i w:val="0"/>
      <w:smallCaps w:val="0"/>
      <w:strike w:val="0"/>
      <w:sz w:val="22"/>
      <w:u w:val="none"/>
    </w:rPr>
  </w:style>
  <w:style w:type="character" w:customStyle="1" w:styleId="Headerorfooter2">
    <w:name w:val="Header or footer|2_"/>
    <w:basedOn w:val="DefaultParagraphFont"/>
    <w:link w:val="Headerorfooter20"/>
    <w:rPr>
      <w:b w:val="0"/>
      <w:i w:val="0"/>
      <w:smallCaps w:val="0"/>
      <w:strike w:val="0"/>
      <w:sz w:val="20"/>
      <w:u w:val="none"/>
    </w:rPr>
  </w:style>
  <w:style w:type="character" w:customStyle="1" w:styleId="Tablecaption1">
    <w:name w:val="Table caption|1_"/>
    <w:basedOn w:val="DefaultParagraphFont"/>
    <w:link w:val="Tablecaption10"/>
    <w:rPr>
      <w:b w:val="0"/>
      <w:i/>
      <w:smallCaps w:val="0"/>
      <w:strike w:val="0"/>
      <w:sz w:val="20"/>
      <w:u w:val="none"/>
    </w:rPr>
  </w:style>
  <w:style w:type="character" w:customStyle="1" w:styleId="Other1">
    <w:name w:val="Other|1_"/>
    <w:basedOn w:val="DefaultParagraphFont"/>
    <w:link w:val="Other10"/>
    <w:rPr>
      <w:b w:val="0"/>
      <w:i w:val="0"/>
      <w:smallCaps w:val="0"/>
      <w:strike w:val="0"/>
      <w:sz w:val="22"/>
      <w:u w:val="none"/>
    </w:rPr>
  </w:style>
  <w:style w:type="character" w:customStyle="1" w:styleId="Bodytext2">
    <w:name w:val="Body text|2_"/>
    <w:basedOn w:val="DefaultParagraphFont"/>
    <w:link w:val="Bodytext20"/>
    <w:rPr>
      <w:b w:val="0"/>
      <w:i w:val="0"/>
      <w:smallCaps w:val="0"/>
      <w:strike w:val="0"/>
      <w:sz w:val="19"/>
      <w:u w:val="none"/>
    </w:rPr>
  </w:style>
  <w:style w:type="character" w:customStyle="1" w:styleId="Bodytext4">
    <w:name w:val="Body text|4_"/>
    <w:basedOn w:val="DefaultParagraphFont"/>
    <w:link w:val="Bodytext40"/>
    <w:rPr>
      <w:b w:val="0"/>
      <w:i w:val="0"/>
      <w:smallCaps w:val="0"/>
      <w:strike w:val="0"/>
      <w:sz w:val="15"/>
      <w:u w:val="none"/>
    </w:rPr>
  </w:style>
  <w:style w:type="character" w:customStyle="1" w:styleId="Bodytext5">
    <w:name w:val="Body text|5_"/>
    <w:basedOn w:val="DefaultParagraphFont"/>
    <w:link w:val="Bodytext50"/>
    <w:rPr>
      <w:b/>
      <w:i w:val="0"/>
      <w:smallCaps w:val="0"/>
      <w:strike w:val="0"/>
      <w:sz w:val="26"/>
      <w:u w:val="none"/>
    </w:rPr>
  </w:style>
  <w:style w:type="character" w:customStyle="1" w:styleId="Bodytext3">
    <w:name w:val="Body text|3_"/>
    <w:basedOn w:val="DefaultParagraphFont"/>
    <w:link w:val="Bodytext30"/>
    <w:rPr>
      <w:b/>
      <w:i w:val="0"/>
      <w:smallCaps w:val="0"/>
      <w:strike w:val="0"/>
      <w:sz w:val="30"/>
      <w:u w:val="none"/>
    </w:rPr>
  </w:style>
  <w:style w:type="character" w:customStyle="1" w:styleId="Heading11">
    <w:name w:val="Heading #1|1_"/>
    <w:basedOn w:val="DefaultParagraphFont"/>
    <w:link w:val="Heading110"/>
    <w:rPr>
      <w:b/>
      <w:i w:val="0"/>
      <w:smallCaps w:val="0"/>
      <w:strike w:val="0"/>
      <w:sz w:val="26"/>
      <w:u w:val="none"/>
    </w:rPr>
  </w:style>
  <w:style w:type="paragraph" w:customStyle="1" w:styleId="Heading210">
    <w:name w:val="Heading #2|1"/>
    <w:basedOn w:val="Normal"/>
    <w:link w:val="Heading21"/>
    <w:pPr>
      <w:spacing w:line="252" w:lineRule="auto"/>
      <w:ind w:firstLine="700"/>
      <w:outlineLvl w:val="1"/>
    </w:pPr>
    <w:rPr>
      <w:b/>
      <w:sz w:val="22"/>
    </w:rPr>
  </w:style>
  <w:style w:type="paragraph" w:customStyle="1" w:styleId="Bodytext10">
    <w:name w:val="Body text|1"/>
    <w:basedOn w:val="Normal"/>
    <w:link w:val="Bodytext1"/>
    <w:pPr>
      <w:spacing w:line="257" w:lineRule="auto"/>
      <w:ind w:firstLine="400"/>
    </w:pPr>
    <w:rPr>
      <w:sz w:val="22"/>
    </w:rPr>
  </w:style>
  <w:style w:type="paragraph" w:customStyle="1" w:styleId="Headerorfooter20">
    <w:name w:val="Header or footer|2"/>
    <w:basedOn w:val="Normal"/>
    <w:link w:val="Headerorfooter2"/>
    <w:rPr>
      <w:sz w:val="20"/>
    </w:rPr>
  </w:style>
  <w:style w:type="paragraph" w:customStyle="1" w:styleId="Tablecaption10">
    <w:name w:val="Table caption|1"/>
    <w:basedOn w:val="Normal"/>
    <w:link w:val="Tablecaption1"/>
    <w:pPr>
      <w:spacing w:line="252" w:lineRule="auto"/>
    </w:pPr>
    <w:rPr>
      <w:i/>
      <w:sz w:val="20"/>
    </w:rPr>
  </w:style>
  <w:style w:type="paragraph" w:customStyle="1" w:styleId="Other10">
    <w:name w:val="Other|1"/>
    <w:basedOn w:val="Normal"/>
    <w:link w:val="Other1"/>
    <w:pPr>
      <w:spacing w:line="257" w:lineRule="auto"/>
      <w:ind w:firstLine="400"/>
    </w:pPr>
    <w:rPr>
      <w:sz w:val="22"/>
    </w:rPr>
  </w:style>
  <w:style w:type="paragraph" w:customStyle="1" w:styleId="Bodytext20">
    <w:name w:val="Body text|2"/>
    <w:basedOn w:val="Normal"/>
    <w:link w:val="Bodytext2"/>
    <w:pPr>
      <w:spacing w:after="500"/>
      <w:ind w:left="460"/>
    </w:pPr>
    <w:rPr>
      <w:sz w:val="19"/>
    </w:rPr>
  </w:style>
  <w:style w:type="paragraph" w:customStyle="1" w:styleId="Bodytext40">
    <w:name w:val="Body text|4"/>
    <w:basedOn w:val="Normal"/>
    <w:link w:val="Bodytext4"/>
    <w:pPr>
      <w:spacing w:after="90"/>
      <w:ind w:left="690"/>
    </w:pPr>
    <w:rPr>
      <w:sz w:val="15"/>
    </w:rPr>
  </w:style>
  <w:style w:type="paragraph" w:customStyle="1" w:styleId="Bodytext50">
    <w:name w:val="Body text|5"/>
    <w:basedOn w:val="Normal"/>
    <w:link w:val="Bodytext5"/>
    <w:rPr>
      <w:b/>
      <w:sz w:val="26"/>
    </w:rPr>
  </w:style>
  <w:style w:type="paragraph" w:customStyle="1" w:styleId="Bodytext30">
    <w:name w:val="Body text|3"/>
    <w:basedOn w:val="Normal"/>
    <w:link w:val="Bodytext3"/>
    <w:pPr>
      <w:spacing w:after="1440"/>
      <w:jc w:val="center"/>
    </w:pPr>
    <w:rPr>
      <w:b/>
      <w:sz w:val="30"/>
    </w:rPr>
  </w:style>
  <w:style w:type="paragraph" w:customStyle="1" w:styleId="Heading110">
    <w:name w:val="Heading #1|1"/>
    <w:basedOn w:val="Normal"/>
    <w:link w:val="Heading11"/>
    <w:pPr>
      <w:spacing w:after="50"/>
      <w:outlineLvl w:val="0"/>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12</cp:revision>
  <dcterms:created xsi:type="dcterms:W3CDTF">2022-08-23T16:40:00Z</dcterms:created>
  <dcterms:modified xsi:type="dcterms:W3CDTF">2022-08-24T06:04:00Z</dcterms:modified>
</cp:coreProperties>
</file>